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1E487C9B" w:rsidR="00494B27" w:rsidRDefault="05549DA1" w:rsidP="00703C67">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w:t>
      </w:r>
      <w:r w:rsidR="00A014E4">
        <w:rPr>
          <w:b/>
          <w:bCs/>
          <w:noProof/>
          <w:sz w:val="24"/>
          <w:szCs w:val="24"/>
        </w:rPr>
        <w:t>2</w:t>
      </w:r>
      <w:r w:rsidR="00F36FB3">
        <w:rPr>
          <w:b/>
          <w:bCs/>
          <w:noProof/>
          <w:sz w:val="24"/>
          <w:szCs w:val="24"/>
        </w:rPr>
        <w:t>2</w:t>
      </w:r>
      <w:r w:rsidRPr="18F6370E">
        <w:rPr>
          <w:b/>
          <w:bCs/>
          <w:i/>
          <w:iCs/>
          <w:noProof/>
          <w:sz w:val="24"/>
          <w:szCs w:val="24"/>
        </w:rPr>
        <w:t xml:space="preserve"> </w:t>
      </w:r>
      <w:r w:rsidR="00494B27">
        <w:tab/>
      </w:r>
      <w:r w:rsidR="008D3A40">
        <w:rPr>
          <w:b/>
          <w:bCs/>
          <w:noProof/>
          <w:sz w:val="28"/>
          <w:szCs w:val="28"/>
        </w:rPr>
        <w:t>R</w:t>
      </w:r>
      <w:r w:rsidRPr="18F6370E">
        <w:rPr>
          <w:b/>
          <w:bCs/>
          <w:noProof/>
          <w:sz w:val="28"/>
          <w:szCs w:val="28"/>
        </w:rPr>
        <w:t>2-</w:t>
      </w:r>
      <w:r w:rsidR="2C45BBB0" w:rsidRPr="00CD32D2">
        <w:rPr>
          <w:b/>
          <w:bCs/>
          <w:noProof/>
          <w:sz w:val="28"/>
          <w:szCs w:val="28"/>
        </w:rPr>
        <w:t>2</w:t>
      </w:r>
      <w:r w:rsidR="00CE01D7" w:rsidRPr="00CD32D2">
        <w:rPr>
          <w:b/>
          <w:bCs/>
          <w:noProof/>
          <w:sz w:val="28"/>
          <w:szCs w:val="28"/>
        </w:rPr>
        <w:t>3</w:t>
      </w:r>
      <w:r w:rsidR="00CD32D2" w:rsidRPr="00CD32D2">
        <w:rPr>
          <w:b/>
          <w:bCs/>
          <w:noProof/>
          <w:sz w:val="28"/>
          <w:szCs w:val="28"/>
        </w:rPr>
        <w:t>05056</w:t>
      </w:r>
    </w:p>
    <w:p w14:paraId="6D49B3D1" w14:textId="77777777" w:rsidR="00F36FB3" w:rsidRDefault="00F36FB3" w:rsidP="2E283DE6">
      <w:pPr>
        <w:pStyle w:val="CRCoverPage"/>
        <w:tabs>
          <w:tab w:val="right" w:pos="9360"/>
        </w:tabs>
        <w:spacing w:line="276" w:lineRule="auto"/>
        <w:outlineLvl w:val="0"/>
        <w:rPr>
          <w:b/>
          <w:bCs/>
          <w:sz w:val="24"/>
          <w:szCs w:val="24"/>
        </w:rPr>
      </w:pPr>
      <w:r w:rsidRPr="007D02AC">
        <w:rPr>
          <w:b/>
          <w:bCs/>
          <w:sz w:val="24"/>
          <w:szCs w:val="24"/>
        </w:rPr>
        <w:t>Incheon, South Korea, May 22-26, 2023</w:t>
      </w:r>
    </w:p>
    <w:p w14:paraId="3A6B9717" w14:textId="01D897F1" w:rsidR="00494B27" w:rsidRPr="001C5A9C" w:rsidRDefault="00F00C69" w:rsidP="2E283DE6">
      <w:pPr>
        <w:pStyle w:val="CRCoverPage"/>
        <w:tabs>
          <w:tab w:val="right" w:pos="9360"/>
        </w:tabs>
        <w:spacing w:line="276" w:lineRule="auto"/>
        <w:outlineLvl w:val="0"/>
        <w:rPr>
          <w:b/>
          <w:bCs/>
          <w:i/>
          <w:iCs/>
          <w:sz w:val="24"/>
          <w:szCs w:val="24"/>
        </w:rPr>
      </w:pPr>
      <w:r>
        <w:tab/>
      </w:r>
    </w:p>
    <w:p w14:paraId="5095F84C" w14:textId="61F64195"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9858E2">
        <w:rPr>
          <w:rFonts w:ascii="Arial" w:hAnsi="Arial"/>
          <w:sz w:val="24"/>
          <w:szCs w:val="24"/>
          <w:lang w:val="en-US"/>
        </w:rPr>
        <w:t>7</w:t>
      </w:r>
      <w:r w:rsidR="6934B75F" w:rsidRPr="18F6370E">
        <w:rPr>
          <w:rFonts w:ascii="Arial" w:hAnsi="Arial"/>
          <w:sz w:val="24"/>
          <w:szCs w:val="24"/>
          <w:lang w:val="en-US"/>
        </w:rPr>
        <w:t>.8.2</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28D91626"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C0031D0" w:rsidRPr="18F6370E">
        <w:rPr>
          <w:rFonts w:ascii="Arial" w:hAnsi="Arial"/>
          <w:sz w:val="24"/>
          <w:szCs w:val="24"/>
          <w:lang w:val="en-US"/>
        </w:rPr>
        <w:t>Measurement and reporting enhancements</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23DD6521" w14:textId="77777777" w:rsidR="00F00C69" w:rsidRDefault="00175052" w:rsidP="00747CB4">
      <w:pPr>
        <w:spacing w:line="276" w:lineRule="auto"/>
        <w:jc w:val="both"/>
      </w:pPr>
      <w:r>
        <w:t>3GPP studied support of Aerial Vehicles during Rel-15 LTE and documented the extensive performance evaluation results in TR 36.777 [2].</w:t>
      </w:r>
      <w:r w:rsidR="002D71D6">
        <w:t xml:space="preserve"> Normative work was also finished in Rel-15 for LTE</w:t>
      </w:r>
      <w:r w:rsidR="0057632B">
        <w:t>, where several</w:t>
      </w:r>
      <w:r w:rsidR="004857A7">
        <w:t xml:space="preserve"> enhancements </w:t>
      </w:r>
      <w:r w:rsidR="0057632B">
        <w:t xml:space="preserve">were added for measurement and reporting taking UAV characteristics into account. </w:t>
      </w:r>
    </w:p>
    <w:p w14:paraId="46BDCA97" w14:textId="6CE03F38" w:rsidR="003A17AE" w:rsidRDefault="00F00C69" w:rsidP="00747CB4">
      <w:pPr>
        <w:spacing w:line="276" w:lineRule="auto"/>
        <w:jc w:val="both"/>
      </w:pPr>
      <w:r>
        <w:t>One of t</w:t>
      </w:r>
      <w:r w:rsidR="004C56C6">
        <w:t>he objective</w:t>
      </w:r>
      <w:r>
        <w:t xml:space="preserve">s in </w:t>
      </w:r>
      <w:r w:rsidR="0037504F">
        <w:t>the Rel-18</w:t>
      </w:r>
      <w:r>
        <w:t xml:space="preserve"> WI</w:t>
      </w:r>
      <w:r w:rsidR="0037504F">
        <w:t xml:space="preserve"> on UAV</w:t>
      </w:r>
      <w:r w:rsidR="004C56C6">
        <w:t xml:space="preserve"> is intended to adapt the LTE solutions to NR while developing NR-specific enhancements </w:t>
      </w:r>
      <w:r w:rsidR="002F4BF0">
        <w:t>as</w:t>
      </w:r>
      <w:r w:rsidR="004C56C6">
        <w:t xml:space="preserve"> needed.</w:t>
      </w:r>
      <w:r w:rsidR="00625491">
        <w:t xml:space="preserve"> </w:t>
      </w:r>
      <w:r w:rsidR="005B5005" w:rsidRPr="008A795B">
        <w:t xml:space="preserve">In this contribution, we </w:t>
      </w:r>
      <w:r w:rsidR="009A36AA">
        <w:t>discuss</w:t>
      </w:r>
      <w:r w:rsidR="00625491">
        <w:t xml:space="preserve"> some</w:t>
      </w:r>
      <w:r w:rsidR="009A36AA">
        <w:t xml:space="preserve"> </w:t>
      </w:r>
      <w:r w:rsidR="00625491">
        <w:t>remaining issues on the</w:t>
      </w:r>
      <w:r w:rsidR="006B5E98">
        <w:t xml:space="preserve"> </w:t>
      </w:r>
      <w:r w:rsidR="00353341">
        <w:t>measurement and reporting</w:t>
      </w:r>
      <w:r w:rsidR="00625491">
        <w:t xml:space="preserve"> aspects</w:t>
      </w:r>
      <w:r w:rsidR="006B5E98">
        <w:t>.</w:t>
      </w:r>
    </w:p>
    <w:p w14:paraId="2B9941F4" w14:textId="3A030848" w:rsidR="00111464" w:rsidRDefault="00111464" w:rsidP="00111464"/>
    <w:p w14:paraId="21619284" w14:textId="2A0E6A8D" w:rsidR="003C081F" w:rsidRDefault="003C081F" w:rsidP="00A32F80">
      <w:pPr>
        <w:pStyle w:val="Heading1"/>
      </w:pPr>
      <w:r>
        <w:t xml:space="preserve">Height-dependent configuration </w:t>
      </w:r>
    </w:p>
    <w:p w14:paraId="4163FDEC" w14:textId="77777777" w:rsidR="00883DCB" w:rsidRDefault="00883DCB" w:rsidP="00883DCB">
      <w:pPr>
        <w:pStyle w:val="B-Body"/>
        <w:spacing w:line="276" w:lineRule="auto"/>
        <w:ind w:left="0"/>
        <w:rPr>
          <w:sz w:val="20"/>
          <w:lang w:val="en-GB"/>
        </w:rPr>
      </w:pPr>
      <w:r>
        <w:rPr>
          <w:sz w:val="20"/>
          <w:lang w:val="en-GB"/>
        </w:rPr>
        <w:t>During RAN2#121, based on email discussion report [Post120][</w:t>
      </w:r>
      <w:proofErr w:type="gramStart"/>
      <w:r>
        <w:rPr>
          <w:sz w:val="20"/>
          <w:lang w:val="en-GB"/>
        </w:rPr>
        <w:t>312][</w:t>
      </w:r>
      <w:proofErr w:type="gramEnd"/>
      <w:r>
        <w:rPr>
          <w:sz w:val="20"/>
          <w:lang w:val="en-GB"/>
        </w:rPr>
        <w:t>UAV] (see R2-2300479) and report of offline [AT121][305][UAV] (see R2-2302210), following was agreed:</w:t>
      </w:r>
    </w:p>
    <w:p w14:paraId="34111D81" w14:textId="77777777" w:rsidR="00883DCB" w:rsidRDefault="00883DCB" w:rsidP="00883DCB">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0FA59E61" w14:textId="77777777" w:rsidR="00883DCB" w:rsidRDefault="00883DCB" w:rsidP="00795096">
      <w:pPr>
        <w:pStyle w:val="Doc-text2"/>
        <w:numPr>
          <w:ilvl w:val="0"/>
          <w:numId w:val="8"/>
        </w:numPr>
        <w:pBdr>
          <w:top w:val="single" w:sz="4" w:space="1" w:color="auto"/>
          <w:left w:val="single" w:sz="4" w:space="4" w:color="auto"/>
          <w:bottom w:val="single" w:sz="4" w:space="1" w:color="auto"/>
          <w:right w:val="single" w:sz="4" w:space="4" w:color="auto"/>
        </w:pBdr>
        <w:spacing w:line="259" w:lineRule="auto"/>
        <w:jc w:val="both"/>
      </w:pPr>
      <w:r>
        <w:t xml:space="preserve">Support configuring height-dependent more-than-one configurations targeting measurement and measurement reporting enhancement. UE applies corresponding configuration based on the UE height. The proposed solutions should aim at avoiding RAN4 impacts.  </w:t>
      </w:r>
      <w:r w:rsidRPr="00CB4A1D">
        <w:rPr>
          <w:highlight w:val="yellow"/>
        </w:rPr>
        <w:t>FFS how this would be configured</w:t>
      </w:r>
      <w:r>
        <w:t xml:space="preserve"> (i.e. different MO configurations or different </w:t>
      </w:r>
      <w:proofErr w:type="gramStart"/>
      <w:r>
        <w:t>parameters  FFS</w:t>
      </w:r>
      <w:proofErr w:type="gramEnd"/>
      <w:r>
        <w:t xml:space="preserve"> Exact parameters and details.</w:t>
      </w:r>
    </w:p>
    <w:p w14:paraId="460037C1" w14:textId="77777777" w:rsidR="007B6F92" w:rsidRDefault="007B6F92" w:rsidP="00111464"/>
    <w:p w14:paraId="736D255D" w14:textId="7FF3E86E" w:rsidR="00883DCB" w:rsidRDefault="00883DCB" w:rsidP="00111464">
      <w:pPr>
        <w:rPr>
          <w:rFonts w:cs="Arial"/>
        </w:rPr>
      </w:pPr>
      <w:r>
        <w:t>During RAN2#121bis-e, this was further discussed, and based on r</w:t>
      </w:r>
      <w:r w:rsidRPr="00883DCB">
        <w:t>eport of [POST121][</w:t>
      </w:r>
      <w:proofErr w:type="gramStart"/>
      <w:r w:rsidRPr="00883DCB">
        <w:t>313][</w:t>
      </w:r>
      <w:proofErr w:type="gramEnd"/>
      <w:r w:rsidRPr="00883DCB">
        <w:t>UAV]</w:t>
      </w:r>
      <w:r>
        <w:t xml:space="preserve"> (see R2-2302681) and </w:t>
      </w:r>
      <w:r w:rsidR="007B6F92">
        <w:t>r</w:t>
      </w:r>
      <w:r>
        <w:rPr>
          <w:rFonts w:cs="Arial"/>
        </w:rPr>
        <w:t xml:space="preserve">eport of </w:t>
      </w:r>
      <w:r w:rsidR="007B6F92">
        <w:rPr>
          <w:rFonts w:cs="Arial"/>
        </w:rPr>
        <w:t xml:space="preserve">offline </w:t>
      </w:r>
      <w:r>
        <w:rPr>
          <w:rFonts w:cs="Arial"/>
        </w:rPr>
        <w:t>[AT121bis-e][306][UAV] (see R2-2304491), following was agreed:</w:t>
      </w:r>
    </w:p>
    <w:p w14:paraId="332DD8AB" w14:textId="77777777" w:rsidR="00883DCB" w:rsidRPr="00D947FC" w:rsidRDefault="00883DCB" w:rsidP="00883DCB">
      <w:pPr>
        <w:pStyle w:val="Doc-text2"/>
        <w:pBdr>
          <w:top w:val="single" w:sz="4" w:space="1" w:color="auto"/>
          <w:left w:val="single" w:sz="4" w:space="4" w:color="auto"/>
          <w:bottom w:val="single" w:sz="4" w:space="1" w:color="auto"/>
          <w:right w:val="single" w:sz="4" w:space="4" w:color="auto"/>
        </w:pBdr>
        <w:rPr>
          <w:b/>
          <w:bCs/>
        </w:rPr>
      </w:pPr>
      <w:r w:rsidRPr="00D947FC">
        <w:rPr>
          <w:b/>
          <w:bCs/>
        </w:rPr>
        <w:t>Agreements</w:t>
      </w:r>
    </w:p>
    <w:p w14:paraId="00DDF7F5" w14:textId="77777777" w:rsidR="00883DCB" w:rsidRDefault="00883DCB" w:rsidP="00795096">
      <w:pPr>
        <w:pStyle w:val="Doc-text2"/>
        <w:numPr>
          <w:ilvl w:val="0"/>
          <w:numId w:val="9"/>
        </w:numPr>
        <w:pBdr>
          <w:top w:val="single" w:sz="4" w:space="1" w:color="auto"/>
          <w:left w:val="single" w:sz="4" w:space="4" w:color="auto"/>
          <w:bottom w:val="single" w:sz="4" w:space="1" w:color="auto"/>
          <w:right w:val="single" w:sz="4" w:space="4" w:color="auto"/>
        </w:pBdr>
      </w:pPr>
      <w:r w:rsidRPr="000C0FE9">
        <w:t>Height-dependent more-than-one configurations is supported on parameter/field level (</w:t>
      </w:r>
      <w:proofErr w:type="gramStart"/>
      <w:r w:rsidRPr="000C0FE9">
        <w:t>i.e.</w:t>
      </w:r>
      <w:proofErr w:type="gramEnd"/>
      <w:r w:rsidRPr="000C0FE9">
        <w:t xml:space="preserve"> different fields/values within the same MO) where different values (or value ranges) of the parameter/field applies to different height or height range.</w:t>
      </w:r>
    </w:p>
    <w:p w14:paraId="5E7E31B1" w14:textId="77777777" w:rsidR="00883DCB" w:rsidRDefault="00883DCB" w:rsidP="00795096">
      <w:pPr>
        <w:pStyle w:val="Doc-text2"/>
        <w:numPr>
          <w:ilvl w:val="0"/>
          <w:numId w:val="9"/>
        </w:numPr>
        <w:pBdr>
          <w:top w:val="single" w:sz="4" w:space="1" w:color="auto"/>
          <w:left w:val="single" w:sz="4" w:space="4" w:color="auto"/>
          <w:bottom w:val="single" w:sz="4" w:space="1" w:color="auto"/>
          <w:right w:val="single" w:sz="4" w:space="4" w:color="auto"/>
        </w:pBdr>
      </w:pPr>
      <w:r w:rsidRPr="00D23187">
        <w:t>For MO configuration parameters: at least the following will have ability to be configured with height-dependent more-than-one configurations/values, each for a specific height region: SSB-</w:t>
      </w:r>
      <w:proofErr w:type="spellStart"/>
      <w:r w:rsidRPr="00D23187">
        <w:t>ToMeasure</w:t>
      </w:r>
      <w:proofErr w:type="spellEnd"/>
      <w:r w:rsidRPr="00D23187">
        <w:t xml:space="preserve">. </w:t>
      </w:r>
      <w:r w:rsidRPr="007B6F92">
        <w:rPr>
          <w:highlight w:val="yellow"/>
        </w:rPr>
        <w:t>Details on how to specify is FFS</w:t>
      </w:r>
      <w:r>
        <w:t xml:space="preserve">.    </w:t>
      </w:r>
      <w:r w:rsidRPr="002C6AA9">
        <w:t xml:space="preserve">FFS on UE </w:t>
      </w:r>
      <w:proofErr w:type="spellStart"/>
      <w:r w:rsidRPr="002C6AA9">
        <w:t>behavior</w:t>
      </w:r>
      <w:proofErr w:type="spellEnd"/>
      <w:r w:rsidRPr="002C6AA9">
        <w:t xml:space="preserve"> on L1 and L3 measurement</w:t>
      </w:r>
      <w:r>
        <w:t xml:space="preserve">.  </w:t>
      </w:r>
    </w:p>
    <w:p w14:paraId="2A453C47" w14:textId="77777777" w:rsidR="00883DCB" w:rsidRDefault="00883DCB" w:rsidP="00795096">
      <w:pPr>
        <w:pStyle w:val="Doc-text2"/>
        <w:numPr>
          <w:ilvl w:val="0"/>
          <w:numId w:val="9"/>
        </w:numPr>
        <w:pBdr>
          <w:top w:val="single" w:sz="4" w:space="1" w:color="auto"/>
          <w:left w:val="single" w:sz="4" w:space="4" w:color="auto"/>
          <w:bottom w:val="single" w:sz="4" w:space="1" w:color="auto"/>
          <w:right w:val="single" w:sz="4" w:space="4" w:color="auto"/>
        </w:pBdr>
        <w:rPr>
          <w:i/>
          <w:iCs/>
        </w:rPr>
      </w:pPr>
      <w:bookmarkStart w:id="2" w:name="_Hlk133350669"/>
      <w:r>
        <w:t xml:space="preserve"> </w:t>
      </w:r>
      <w:r w:rsidRPr="00CC13DD">
        <w:t>For MR configuration parameters: at least the following will have ability to be configured with height-dependent more-than-one configurations/values, each for a specific height region: Event A4 threshold</w:t>
      </w:r>
      <w:r>
        <w:t xml:space="preserve"> and </w:t>
      </w:r>
      <w:proofErr w:type="spellStart"/>
      <w:r>
        <w:t>numberoftriggeringcells</w:t>
      </w:r>
      <w:proofErr w:type="spellEnd"/>
      <w:r w:rsidRPr="00CC13DD">
        <w:t>.</w:t>
      </w:r>
      <w:r w:rsidRPr="00DF3A14">
        <w:rPr>
          <w:i/>
          <w:iCs/>
        </w:rPr>
        <w:t xml:space="preserve">  </w:t>
      </w:r>
      <w:r w:rsidRPr="007B6F92">
        <w:rPr>
          <w:highlight w:val="yellow"/>
        </w:rPr>
        <w:t>Details on how to specify is FFS (</w:t>
      </w:r>
      <w:proofErr w:type="gramStart"/>
      <w:r w:rsidRPr="007B6F92">
        <w:rPr>
          <w:highlight w:val="yellow"/>
        </w:rPr>
        <w:t>i.e.</w:t>
      </w:r>
      <w:proofErr w:type="gramEnd"/>
      <w:r w:rsidRPr="007B6F92">
        <w:rPr>
          <w:highlight w:val="yellow"/>
        </w:rPr>
        <w:t xml:space="preserve"> maybe it can be achieved by combination of events)</w:t>
      </w:r>
      <w:r w:rsidRPr="004C0592">
        <w:t>.</w:t>
      </w:r>
      <w:r w:rsidRPr="00DF3A14">
        <w:rPr>
          <w:i/>
          <w:iCs/>
        </w:rPr>
        <w:t xml:space="preserve">   </w:t>
      </w:r>
    </w:p>
    <w:bookmarkEnd w:id="2"/>
    <w:p w14:paraId="3D264117" w14:textId="77777777" w:rsidR="00883DCB" w:rsidRDefault="00883DCB" w:rsidP="00795096">
      <w:pPr>
        <w:pStyle w:val="Doc-text2"/>
        <w:numPr>
          <w:ilvl w:val="0"/>
          <w:numId w:val="9"/>
        </w:numPr>
        <w:pBdr>
          <w:top w:val="single" w:sz="4" w:space="1" w:color="auto"/>
          <w:left w:val="single" w:sz="4" w:space="4" w:color="auto"/>
          <w:bottom w:val="single" w:sz="4" w:space="1" w:color="auto"/>
          <w:right w:val="single" w:sz="4" w:space="4" w:color="auto"/>
        </w:pBdr>
      </w:pPr>
      <w:r w:rsidRPr="006E3D1A">
        <w:t xml:space="preserve">When height-dependent more-than-one configurations are provided, UE applies the new value once it moves to new height (or height range) </w:t>
      </w:r>
      <w:proofErr w:type="gramStart"/>
      <w:r w:rsidRPr="006E3D1A">
        <w:t>similar to</w:t>
      </w:r>
      <w:proofErr w:type="gramEnd"/>
      <w:r w:rsidRPr="006E3D1A">
        <w:t xml:space="preserve"> the case of RRC reconfiguration. Need Codes, field descriptions, etc. as in legacy specifications </w:t>
      </w:r>
      <w:proofErr w:type="gramStart"/>
      <w:r w:rsidRPr="006E3D1A">
        <w:t>apply</w:t>
      </w:r>
      <w:proofErr w:type="gramEnd"/>
    </w:p>
    <w:p w14:paraId="7F9BEC43" w14:textId="77777777" w:rsidR="00883DCB" w:rsidRPr="006E3D1A" w:rsidRDefault="00883DCB" w:rsidP="00795096">
      <w:pPr>
        <w:pStyle w:val="Doc-text2"/>
        <w:numPr>
          <w:ilvl w:val="0"/>
          <w:numId w:val="9"/>
        </w:numPr>
        <w:pBdr>
          <w:top w:val="single" w:sz="4" w:space="1" w:color="auto"/>
          <w:left w:val="single" w:sz="4" w:space="4" w:color="auto"/>
          <w:bottom w:val="single" w:sz="4" w:space="1" w:color="auto"/>
          <w:right w:val="single" w:sz="4" w:space="4" w:color="auto"/>
        </w:pBdr>
      </w:pPr>
      <w:r w:rsidRPr="00D947FC">
        <w:t>If a height-specific value is not explicitly configured for certain height, whether to keep using the value that was used or consider the parameter as released (</w:t>
      </w:r>
      <w:proofErr w:type="gramStart"/>
      <w:r w:rsidRPr="00D947FC">
        <w:t>i.e.</w:t>
      </w:r>
      <w:proofErr w:type="gramEnd"/>
      <w:r w:rsidRPr="00D947FC">
        <w:t xml:space="preserve"> parameter/value not applicable at this height) should be looked into case by case, and can be clarified by need code, field description, or procedural text as needed.</w:t>
      </w:r>
      <w:r>
        <w:t xml:space="preserve">   FFS </w:t>
      </w:r>
      <w:proofErr w:type="gramStart"/>
      <w:r>
        <w:t>details</w:t>
      </w:r>
      <w:proofErr w:type="gramEnd"/>
    </w:p>
    <w:p w14:paraId="4991D286" w14:textId="1A52BC69" w:rsidR="00883DCB" w:rsidRDefault="00883DCB" w:rsidP="00111464"/>
    <w:p w14:paraId="7312CA87" w14:textId="4B28CB82" w:rsidR="007B6F92" w:rsidRDefault="007B6F92" w:rsidP="00111464">
      <w:r>
        <w:t xml:space="preserve">In the following, we address the </w:t>
      </w:r>
      <w:r w:rsidRPr="00C17D06">
        <w:t>highlighted</w:t>
      </w:r>
      <w:r>
        <w:t xml:space="preserve"> </w:t>
      </w:r>
      <w:proofErr w:type="spellStart"/>
      <w:r>
        <w:t>FFSes</w:t>
      </w:r>
      <w:proofErr w:type="spellEnd"/>
      <w:r>
        <w:t>.</w:t>
      </w:r>
    </w:p>
    <w:p w14:paraId="7EAEC081" w14:textId="2D5EC9C2" w:rsidR="004C0592" w:rsidRDefault="00BF6113" w:rsidP="004C0592">
      <w:pPr>
        <w:pStyle w:val="Heading2"/>
        <w:spacing w:line="276" w:lineRule="auto"/>
        <w:rPr>
          <w:i w:val="0"/>
        </w:rPr>
      </w:pPr>
      <w:r>
        <w:rPr>
          <w:i w:val="0"/>
        </w:rPr>
        <w:t xml:space="preserve">MO config parameter: </w:t>
      </w:r>
      <w:r w:rsidR="004C0592" w:rsidRPr="00C922A9">
        <w:rPr>
          <w:i w:val="0"/>
        </w:rPr>
        <w:t>SSB-</w:t>
      </w:r>
      <w:proofErr w:type="spellStart"/>
      <w:r w:rsidR="004C0592" w:rsidRPr="00C922A9">
        <w:rPr>
          <w:i w:val="0"/>
        </w:rPr>
        <w:t>ToMeasure</w:t>
      </w:r>
      <w:proofErr w:type="spellEnd"/>
    </w:p>
    <w:p w14:paraId="23C07788" w14:textId="07B0687D" w:rsidR="00BF6113" w:rsidRDefault="00BF6113" w:rsidP="004C0592">
      <w:r>
        <w:t xml:space="preserve">One straightforward way to </w:t>
      </w:r>
      <w:r w:rsidR="000C5BA9">
        <w:t>specify</w:t>
      </w:r>
      <w:r>
        <w:t xml:space="preserve"> </w:t>
      </w:r>
      <w:r w:rsidR="002877E4">
        <w:t>height-specific SSB-</w:t>
      </w:r>
      <w:proofErr w:type="spellStart"/>
      <w:r w:rsidR="002877E4">
        <w:t>ToMeasure</w:t>
      </w:r>
      <w:proofErr w:type="spellEnd"/>
      <w:r w:rsidR="000C5BA9">
        <w:t xml:space="preserve"> in the specification</w:t>
      </w:r>
      <w:r>
        <w:t xml:space="preserve"> is shown below</w:t>
      </w:r>
      <w:r w:rsidR="00285775">
        <w:t xml:space="preserve">, </w:t>
      </w:r>
      <w:proofErr w:type="gramStart"/>
      <w:r w:rsidR="002877E4">
        <w:t>e.g.</w:t>
      </w:r>
      <w:proofErr w:type="gramEnd"/>
      <w:r w:rsidR="002877E4">
        <w:t xml:space="preserve"> using a</w:t>
      </w:r>
      <w:r w:rsidR="00285775">
        <w:t xml:space="preserve"> list of </w:t>
      </w:r>
      <w:proofErr w:type="spellStart"/>
      <w:r w:rsidR="00285775" w:rsidRPr="000C5BA9">
        <w:rPr>
          <w:i/>
          <w:iCs/>
        </w:rPr>
        <w:t>heightRange</w:t>
      </w:r>
      <w:proofErr w:type="spellEnd"/>
      <w:r w:rsidR="00285775">
        <w:t xml:space="preserve"> items, each </w:t>
      </w:r>
      <w:proofErr w:type="spellStart"/>
      <w:r w:rsidR="00285775" w:rsidRPr="000C5BA9">
        <w:rPr>
          <w:i/>
          <w:iCs/>
        </w:rPr>
        <w:t>heightRange</w:t>
      </w:r>
      <w:proofErr w:type="spellEnd"/>
      <w:r w:rsidR="00285775">
        <w:t xml:space="preserve"> corresponding to a </w:t>
      </w:r>
      <w:proofErr w:type="spellStart"/>
      <w:r w:rsidR="00285775" w:rsidRPr="000C5BA9">
        <w:rPr>
          <w:i/>
          <w:iCs/>
        </w:rPr>
        <w:t>ssb-ToMeasure</w:t>
      </w:r>
      <w:proofErr w:type="spellEnd"/>
      <w:r w:rsidR="00285775">
        <w:t xml:space="preserve"> field. </w:t>
      </w:r>
      <w:r w:rsidR="00EB1A71">
        <w:t xml:space="preserve">The height range can also include a </w:t>
      </w:r>
      <w:r w:rsidR="000C5BA9">
        <w:t>hysteresis</w:t>
      </w:r>
      <w:r w:rsidR="00EB1A71">
        <w:t xml:space="preserve"> value to avoid frequent ping-pong between</w:t>
      </w:r>
      <w:r w:rsidR="005F0DF3">
        <w:t xml:space="preserve"> the</w:t>
      </w:r>
      <w:r w:rsidR="00EB1A71">
        <w:t xml:space="preserve"> height ranges.</w:t>
      </w:r>
    </w:p>
    <w:p w14:paraId="6F8B3876" w14:textId="77777777" w:rsidR="00BF6113" w:rsidRPr="00F10B4F" w:rsidRDefault="00BF6113" w:rsidP="00BF6113">
      <w:pPr>
        <w:pStyle w:val="PL"/>
      </w:pPr>
      <w:r w:rsidRPr="00F10B4F">
        <w:t xml:space="preserve">MeasObjectNR ::=                    </w:t>
      </w:r>
      <w:r w:rsidRPr="00F10B4F">
        <w:rPr>
          <w:color w:val="993366"/>
        </w:rPr>
        <w:t>SEQUENCE</w:t>
      </w:r>
      <w:r w:rsidRPr="00F10B4F">
        <w:t xml:space="preserve"> {</w:t>
      </w:r>
    </w:p>
    <w:p w14:paraId="4B01F16A" w14:textId="77777777" w:rsidR="00BF6113" w:rsidRPr="00F10B4F" w:rsidRDefault="00BF6113" w:rsidP="00BF6113">
      <w:pPr>
        <w:pStyle w:val="PL"/>
        <w:rPr>
          <w:color w:val="808080"/>
        </w:rPr>
      </w:pPr>
      <w:r w:rsidRPr="00F10B4F">
        <w:t xml:space="preserve">    ssbFrequency                        ARFCN-ValueNR                                                   </w:t>
      </w:r>
      <w:r w:rsidRPr="00F10B4F">
        <w:rPr>
          <w:color w:val="993366"/>
        </w:rPr>
        <w:t>OPTIONAL</w:t>
      </w:r>
      <w:r w:rsidRPr="00F10B4F">
        <w:t xml:space="preserve">,   </w:t>
      </w:r>
      <w:r w:rsidRPr="00F10B4F">
        <w:rPr>
          <w:color w:val="808080"/>
        </w:rPr>
        <w:t>-- Cond SSBorAssociatedSSB</w:t>
      </w:r>
    </w:p>
    <w:p w14:paraId="4A8570AD" w14:textId="6B4CF5B1" w:rsidR="00BF6113" w:rsidRPr="00F10B4F" w:rsidRDefault="00BF6113" w:rsidP="00BF6113">
      <w:pPr>
        <w:pStyle w:val="PL"/>
        <w:rPr>
          <w:color w:val="808080"/>
        </w:rPr>
      </w:pPr>
      <w:r w:rsidRPr="00F10B4F">
        <w:t xml:space="preserve">    </w:t>
      </w:r>
      <w:r w:rsidRPr="00C922A9">
        <w:rPr>
          <w:color w:val="FF0000"/>
        </w:rPr>
        <w:t>&lt;&lt;skip&gt;&gt;</w:t>
      </w:r>
    </w:p>
    <w:p w14:paraId="7C407AF4" w14:textId="77777777" w:rsidR="00BF6113" w:rsidRPr="00F10B4F" w:rsidRDefault="00BF6113" w:rsidP="00BF6113">
      <w:pPr>
        <w:pStyle w:val="PL"/>
      </w:pPr>
      <w:r w:rsidRPr="00F10B4F">
        <w:t xml:space="preserve">   ]],</w:t>
      </w:r>
    </w:p>
    <w:p w14:paraId="50B9E83D" w14:textId="77777777" w:rsidR="00BF6113" w:rsidRPr="00F10B4F" w:rsidRDefault="00BF6113" w:rsidP="00BF6113">
      <w:pPr>
        <w:pStyle w:val="PL"/>
      </w:pPr>
      <w:r w:rsidRPr="00F10B4F">
        <w:t xml:space="preserve">   [[</w:t>
      </w:r>
    </w:p>
    <w:p w14:paraId="070F40E8" w14:textId="77777777" w:rsidR="00BF6113" w:rsidRPr="00F10B4F" w:rsidRDefault="00BF6113" w:rsidP="00BF6113">
      <w:pPr>
        <w:pStyle w:val="PL"/>
        <w:rPr>
          <w:color w:val="808080"/>
        </w:rPr>
      </w:pPr>
      <w:r w:rsidRPr="00F10B4F">
        <w:t xml:space="preserve">    associatedMeasGapSSB2-v1720         MeasGapId-r17                                               </w:t>
      </w:r>
      <w:r w:rsidRPr="00F10B4F">
        <w:rPr>
          <w:color w:val="993366"/>
        </w:rPr>
        <w:t>OPTIONAL</w:t>
      </w:r>
      <w:r w:rsidRPr="00F10B4F">
        <w:t xml:space="preserve">, </w:t>
      </w:r>
      <w:r w:rsidRPr="00F10B4F">
        <w:rPr>
          <w:color w:val="808080"/>
        </w:rPr>
        <w:t>-- Cond AssociatedGapSSB</w:t>
      </w:r>
    </w:p>
    <w:p w14:paraId="6F39C877" w14:textId="77777777" w:rsidR="00BF6113" w:rsidRPr="00F10B4F" w:rsidRDefault="00BF6113" w:rsidP="00BF6113">
      <w:pPr>
        <w:pStyle w:val="PL"/>
        <w:rPr>
          <w:color w:val="808080"/>
        </w:rPr>
      </w:pPr>
      <w:r w:rsidRPr="00F10B4F">
        <w:t xml:space="preserve">    associatedMeasGapCSIRS2-v1720       MeasGapId-r17                                               </w:t>
      </w:r>
      <w:r w:rsidRPr="00F10B4F">
        <w:rPr>
          <w:color w:val="993366"/>
        </w:rPr>
        <w:t>OPTIONAL</w:t>
      </w:r>
      <w:r w:rsidRPr="00F10B4F">
        <w:t xml:space="preserve">  </w:t>
      </w:r>
      <w:r w:rsidRPr="00F10B4F">
        <w:rPr>
          <w:color w:val="808080"/>
        </w:rPr>
        <w:t>-- Cond AssociatedGapCSIRS</w:t>
      </w:r>
    </w:p>
    <w:p w14:paraId="4CA9627B" w14:textId="086931A9" w:rsidR="00BF6113" w:rsidRPr="00C922A9" w:rsidRDefault="00BF6113" w:rsidP="00BF6113">
      <w:pPr>
        <w:pStyle w:val="PL"/>
        <w:rPr>
          <w:color w:val="FF0000"/>
        </w:rPr>
      </w:pPr>
      <w:r w:rsidRPr="00F10B4F">
        <w:t xml:space="preserve">   ]]</w:t>
      </w:r>
      <w:r w:rsidRPr="00C922A9">
        <w:rPr>
          <w:color w:val="FF0000"/>
        </w:rPr>
        <w:t>,</w:t>
      </w:r>
    </w:p>
    <w:p w14:paraId="1933F449" w14:textId="22E0FA53" w:rsidR="00BF6113" w:rsidRPr="00A32F80" w:rsidRDefault="00BF6113" w:rsidP="00BF6113">
      <w:pPr>
        <w:pStyle w:val="PL"/>
        <w:rPr>
          <w:color w:val="FF0000"/>
        </w:rPr>
      </w:pPr>
      <w:r w:rsidRPr="00BF6113">
        <w:rPr>
          <w:color w:val="FF0000"/>
        </w:rPr>
        <w:t xml:space="preserve">   </w:t>
      </w:r>
      <w:r w:rsidRPr="00A32F80">
        <w:rPr>
          <w:color w:val="FF0000"/>
        </w:rPr>
        <w:t>[[</w:t>
      </w:r>
    </w:p>
    <w:p w14:paraId="792F41B3" w14:textId="51EE0318" w:rsidR="00BF6113" w:rsidRPr="00A32F80" w:rsidRDefault="00BF6113" w:rsidP="00BF6113">
      <w:pPr>
        <w:pStyle w:val="PL"/>
        <w:rPr>
          <w:color w:val="FF0000"/>
        </w:rPr>
      </w:pPr>
      <w:r>
        <w:rPr>
          <w:color w:val="FF0000"/>
        </w:rPr>
        <w:t xml:space="preserve">   </w:t>
      </w:r>
      <w:r w:rsidRPr="00A32F80">
        <w:rPr>
          <w:color w:val="FF0000"/>
        </w:rPr>
        <w:t>ssb-ToMeasureHeightBasedList-r18</w:t>
      </w:r>
      <w:r>
        <w:rPr>
          <w:color w:val="FF0000"/>
        </w:rPr>
        <w:t xml:space="preserve">    </w:t>
      </w:r>
      <w:r w:rsidRPr="00A32F80">
        <w:rPr>
          <w:color w:val="FF0000"/>
        </w:rPr>
        <w:t xml:space="preserve"> SetupRelease { SSB-ToMeasureHeightBasedList-r18 }</w:t>
      </w:r>
      <w:r>
        <w:rPr>
          <w:color w:val="FF0000"/>
        </w:rPr>
        <w:t xml:space="preserve">   </w:t>
      </w:r>
      <w:r w:rsidRPr="00A32F80">
        <w:rPr>
          <w:color w:val="FF0000"/>
        </w:rPr>
        <w:t xml:space="preserve"> OPTIONAL</w:t>
      </w:r>
      <w:r>
        <w:rPr>
          <w:color w:val="FF0000"/>
        </w:rPr>
        <w:t xml:space="preserve">  </w:t>
      </w:r>
      <w:r w:rsidRPr="00A32F80">
        <w:rPr>
          <w:color w:val="FF0000"/>
        </w:rPr>
        <w:t>-- Need R</w:t>
      </w:r>
    </w:p>
    <w:p w14:paraId="16CC6250" w14:textId="24F85E2D" w:rsidR="00BF6113" w:rsidRPr="00F10B4F" w:rsidRDefault="00BF6113" w:rsidP="00BF6113">
      <w:pPr>
        <w:pStyle w:val="PL"/>
      </w:pPr>
      <w:r w:rsidRPr="00A32F80">
        <w:rPr>
          <w:color w:val="FF0000"/>
        </w:rPr>
        <w:t>   ]]</w:t>
      </w:r>
    </w:p>
    <w:p w14:paraId="39E44BE3" w14:textId="6DD37FF5" w:rsidR="00BF6113" w:rsidRDefault="00BF6113" w:rsidP="00BF6113">
      <w:pPr>
        <w:pStyle w:val="PL"/>
      </w:pPr>
      <w:r w:rsidRPr="00F10B4F">
        <w:t>}</w:t>
      </w:r>
    </w:p>
    <w:p w14:paraId="65E0DA5B" w14:textId="5080748C" w:rsidR="00BF6113" w:rsidRDefault="00BF6113" w:rsidP="00BF6113">
      <w:pPr>
        <w:pStyle w:val="PL"/>
      </w:pPr>
    </w:p>
    <w:p w14:paraId="3C1AC960" w14:textId="16CFD55F" w:rsidR="00BF6113" w:rsidRPr="00A32F80" w:rsidRDefault="00BF6113" w:rsidP="00BF6113">
      <w:pPr>
        <w:pStyle w:val="PL"/>
        <w:rPr>
          <w:color w:val="FF0000"/>
        </w:rPr>
      </w:pPr>
      <w:r w:rsidRPr="00A32F80">
        <w:rPr>
          <w:color w:val="FF0000"/>
        </w:rPr>
        <w:t>SSB-ToMeasureHeightBasedList-r18 ::= SEQUENCE</w:t>
      </w:r>
      <w:r>
        <w:rPr>
          <w:color w:val="FF0000"/>
        </w:rPr>
        <w:t xml:space="preserve"> </w:t>
      </w:r>
      <w:r w:rsidRPr="00A32F80">
        <w:rPr>
          <w:color w:val="FF0000"/>
        </w:rPr>
        <w:t>(SIZE</w:t>
      </w:r>
      <w:r>
        <w:rPr>
          <w:color w:val="FF0000"/>
        </w:rPr>
        <w:t xml:space="preserve"> </w:t>
      </w:r>
      <w:r w:rsidRPr="00A32F80">
        <w:rPr>
          <w:color w:val="FF0000"/>
        </w:rPr>
        <w:t>(1..maxNrofHeightRanges-r18))</w:t>
      </w:r>
      <w:r>
        <w:rPr>
          <w:color w:val="FF0000"/>
        </w:rPr>
        <w:t xml:space="preserve"> </w:t>
      </w:r>
      <w:r w:rsidRPr="00A32F80">
        <w:rPr>
          <w:color w:val="FF0000"/>
        </w:rPr>
        <w:t>OF</w:t>
      </w:r>
      <w:r>
        <w:rPr>
          <w:color w:val="FF0000"/>
        </w:rPr>
        <w:t xml:space="preserve"> </w:t>
      </w:r>
      <w:r w:rsidRPr="00A32F80">
        <w:rPr>
          <w:color w:val="FF0000"/>
        </w:rPr>
        <w:t>SSB-ToMeasureHeightBased-r18</w:t>
      </w:r>
    </w:p>
    <w:p w14:paraId="6AAC3653" w14:textId="7C51E7E1" w:rsidR="00BF6113" w:rsidRPr="00A32F80" w:rsidRDefault="00BF6113" w:rsidP="00BF6113">
      <w:pPr>
        <w:pStyle w:val="PL"/>
        <w:rPr>
          <w:color w:val="FF0000"/>
        </w:rPr>
      </w:pPr>
    </w:p>
    <w:p w14:paraId="6BACEECF" w14:textId="1D874712" w:rsidR="00BF6113" w:rsidRPr="00A32F80" w:rsidRDefault="00BF6113" w:rsidP="00BF6113">
      <w:pPr>
        <w:pStyle w:val="PL"/>
        <w:rPr>
          <w:color w:val="FF0000"/>
        </w:rPr>
      </w:pPr>
      <w:r w:rsidRPr="00A32F80">
        <w:rPr>
          <w:color w:val="FF0000"/>
        </w:rPr>
        <w:t>SSB-ToMeasureHeightBased-r18 ::=</w:t>
      </w:r>
      <w:r>
        <w:rPr>
          <w:color w:val="FF0000"/>
        </w:rPr>
        <w:t xml:space="preserve">    </w:t>
      </w:r>
      <w:r w:rsidRPr="00A32F80">
        <w:rPr>
          <w:color w:val="FF0000"/>
        </w:rPr>
        <w:t xml:space="preserve"> SEQUENCE {</w:t>
      </w:r>
    </w:p>
    <w:p w14:paraId="6452612D" w14:textId="76C8B6BC" w:rsidR="00BF6113" w:rsidRPr="00A32F80" w:rsidRDefault="00BF6113" w:rsidP="00BF6113">
      <w:pPr>
        <w:pStyle w:val="PL"/>
        <w:rPr>
          <w:color w:val="FF0000"/>
        </w:rPr>
      </w:pPr>
      <w:r>
        <w:rPr>
          <w:color w:val="FF0000"/>
        </w:rPr>
        <w:t xml:space="preserve">   </w:t>
      </w:r>
      <w:r w:rsidRPr="00A32F80">
        <w:rPr>
          <w:color w:val="FF0000"/>
        </w:rPr>
        <w:t>heightRange-r18</w:t>
      </w:r>
      <w:r>
        <w:rPr>
          <w:color w:val="FF0000"/>
        </w:rPr>
        <w:t xml:space="preserve"> </w:t>
      </w:r>
      <w:r w:rsidR="00C922A9">
        <w:rPr>
          <w:color w:val="FF0000"/>
        </w:rPr>
        <w:t xml:space="preserve"> </w:t>
      </w:r>
      <w:r>
        <w:rPr>
          <w:color w:val="FF0000"/>
        </w:rPr>
        <w:t xml:space="preserve"> </w:t>
      </w:r>
      <w:r w:rsidR="00C922A9">
        <w:rPr>
          <w:color w:val="FF0000"/>
        </w:rPr>
        <w:t xml:space="preserve"> </w:t>
      </w:r>
      <w:r w:rsidRPr="00A32F80">
        <w:rPr>
          <w:color w:val="FF0000"/>
        </w:rPr>
        <w:t xml:space="preserve"> SEQUENCE {</w:t>
      </w:r>
    </w:p>
    <w:p w14:paraId="4766DD6E" w14:textId="0585D137" w:rsidR="00BF6113" w:rsidRPr="00A32F80" w:rsidRDefault="00BF6113" w:rsidP="00BF6113">
      <w:pPr>
        <w:pStyle w:val="PL"/>
        <w:rPr>
          <w:color w:val="FF0000"/>
        </w:rPr>
      </w:pPr>
      <w:r>
        <w:rPr>
          <w:color w:val="FF0000"/>
        </w:rPr>
        <w:t xml:space="preserve">      </w:t>
      </w:r>
      <w:r w:rsidRPr="00A32F80">
        <w:rPr>
          <w:color w:val="FF0000"/>
        </w:rPr>
        <w:t>heightMin-r18</w:t>
      </w:r>
      <w:r w:rsidR="00C922A9">
        <w:rPr>
          <w:color w:val="FF0000"/>
        </w:rPr>
        <w:t xml:space="preserve">       </w:t>
      </w:r>
      <w:r w:rsidRPr="00A32F80">
        <w:rPr>
          <w:color w:val="FF0000"/>
        </w:rPr>
        <w:t>INTEGER (0..maxHeight-r18) OPTIONAL,</w:t>
      </w:r>
    </w:p>
    <w:p w14:paraId="504995E2" w14:textId="4F8172DB" w:rsidR="00BF6113" w:rsidRPr="00A32F80" w:rsidRDefault="00BF6113" w:rsidP="00BF6113">
      <w:pPr>
        <w:pStyle w:val="PL"/>
        <w:rPr>
          <w:color w:val="FF0000"/>
        </w:rPr>
      </w:pPr>
      <w:r>
        <w:rPr>
          <w:color w:val="FF0000"/>
        </w:rPr>
        <w:t xml:space="preserve">      </w:t>
      </w:r>
      <w:r w:rsidRPr="00A32F80">
        <w:rPr>
          <w:color w:val="FF0000"/>
        </w:rPr>
        <w:t>heightMax-r18</w:t>
      </w:r>
      <w:r w:rsidR="00C922A9">
        <w:rPr>
          <w:color w:val="FF0000"/>
        </w:rPr>
        <w:t xml:space="preserve">       </w:t>
      </w:r>
      <w:r w:rsidRPr="00A32F80">
        <w:rPr>
          <w:color w:val="FF0000"/>
        </w:rPr>
        <w:t>INTEGER (0..maxHeight-r18) OPTIONAL,</w:t>
      </w:r>
    </w:p>
    <w:p w14:paraId="3207DF89" w14:textId="36F5F00D" w:rsidR="00BF6113" w:rsidRPr="00A32F80" w:rsidRDefault="00BF6113" w:rsidP="00BF6113">
      <w:pPr>
        <w:pStyle w:val="PL"/>
        <w:rPr>
          <w:color w:val="FF0000"/>
        </w:rPr>
      </w:pPr>
      <w:r>
        <w:rPr>
          <w:color w:val="FF0000"/>
        </w:rPr>
        <w:t xml:space="preserve">      </w:t>
      </w:r>
      <w:r w:rsidRPr="00A32F80">
        <w:rPr>
          <w:color w:val="FF0000"/>
        </w:rPr>
        <w:t>heightHyst-r18</w:t>
      </w:r>
      <w:r w:rsidR="00C922A9">
        <w:rPr>
          <w:color w:val="FF0000"/>
        </w:rPr>
        <w:t xml:space="preserve">    </w:t>
      </w:r>
      <w:r w:rsidRPr="00A32F80">
        <w:rPr>
          <w:color w:val="FF0000"/>
        </w:rPr>
        <w:t xml:space="preserve"> </w:t>
      </w:r>
      <w:r w:rsidR="00C922A9">
        <w:rPr>
          <w:color w:val="FF0000"/>
        </w:rPr>
        <w:t xml:space="preserve"> </w:t>
      </w:r>
      <w:r w:rsidRPr="00A32F80">
        <w:rPr>
          <w:color w:val="FF0000"/>
        </w:rPr>
        <w:t>INTEGER (0..maxHyst-r18) OPTIONAL</w:t>
      </w:r>
    </w:p>
    <w:p w14:paraId="73175BD7" w14:textId="3B4A4CAF" w:rsidR="00BF6113" w:rsidRPr="00A32F80" w:rsidRDefault="00C922A9" w:rsidP="00BF6113">
      <w:pPr>
        <w:pStyle w:val="PL"/>
        <w:rPr>
          <w:color w:val="FF0000"/>
        </w:rPr>
      </w:pPr>
      <w:r>
        <w:rPr>
          <w:color w:val="FF0000"/>
        </w:rPr>
        <w:t xml:space="preserve">   </w:t>
      </w:r>
      <w:r w:rsidR="00BF6113" w:rsidRPr="00A32F80">
        <w:rPr>
          <w:color w:val="FF0000"/>
        </w:rPr>
        <w:t>},</w:t>
      </w:r>
    </w:p>
    <w:p w14:paraId="622B3579" w14:textId="582E727D" w:rsidR="00BF6113" w:rsidRPr="00A32F80" w:rsidRDefault="00C922A9" w:rsidP="00BF6113">
      <w:pPr>
        <w:pStyle w:val="PL"/>
        <w:rPr>
          <w:color w:val="FF0000"/>
        </w:rPr>
      </w:pPr>
      <w:r>
        <w:rPr>
          <w:color w:val="FF0000"/>
        </w:rPr>
        <w:t xml:space="preserve">   </w:t>
      </w:r>
      <w:r w:rsidR="00BF6113" w:rsidRPr="00A32F80">
        <w:rPr>
          <w:color w:val="FF0000"/>
        </w:rPr>
        <w:t>ssb-ToMeasure-r18</w:t>
      </w:r>
      <w:r>
        <w:rPr>
          <w:color w:val="FF0000"/>
        </w:rPr>
        <w:t xml:space="preserve">   </w:t>
      </w:r>
      <w:r w:rsidR="00BF6113" w:rsidRPr="00A32F80">
        <w:rPr>
          <w:color w:val="FF0000"/>
        </w:rPr>
        <w:t>SSB-ToMeasure</w:t>
      </w:r>
    </w:p>
    <w:p w14:paraId="5DF8FC90" w14:textId="5C00A195" w:rsidR="00BF6113" w:rsidRPr="00F10B4F" w:rsidRDefault="00BF6113" w:rsidP="00BF6113">
      <w:pPr>
        <w:pStyle w:val="PL"/>
      </w:pPr>
      <w:r w:rsidRPr="00A32F80">
        <w:rPr>
          <w:color w:val="FF0000"/>
        </w:rPr>
        <w:t>}</w:t>
      </w:r>
    </w:p>
    <w:p w14:paraId="6EFB0FF7" w14:textId="60B15B9D" w:rsidR="00BF6113" w:rsidRDefault="00BF6113" w:rsidP="004C0592"/>
    <w:tbl>
      <w:tblPr>
        <w:tblStyle w:val="TableGrid"/>
        <w:tblW w:w="0" w:type="auto"/>
        <w:tblLook w:val="04A0" w:firstRow="1" w:lastRow="0" w:firstColumn="1" w:lastColumn="0" w:noHBand="0" w:noVBand="1"/>
      </w:tblPr>
      <w:tblGrid>
        <w:gridCol w:w="9350"/>
      </w:tblGrid>
      <w:tr w:rsidR="003D1100" w14:paraId="5FA7F78E" w14:textId="77777777" w:rsidTr="003D1100">
        <w:tc>
          <w:tcPr>
            <w:tcW w:w="0" w:type="auto"/>
          </w:tcPr>
          <w:p w14:paraId="174B1D13" w14:textId="77777777" w:rsidR="003D1100" w:rsidRDefault="003D1100" w:rsidP="00BB5A08">
            <w:pPr>
              <w:spacing w:after="120"/>
              <w:rPr>
                <w:b/>
                <w:bCs/>
                <w:i/>
                <w:iCs/>
                <w:color w:val="FF0000"/>
              </w:rPr>
            </w:pPr>
            <w:proofErr w:type="spellStart"/>
            <w:r w:rsidRPr="00A32F80">
              <w:rPr>
                <w:b/>
                <w:bCs/>
                <w:i/>
                <w:iCs/>
                <w:color w:val="FF0000"/>
              </w:rPr>
              <w:t>ssb-ToMeasureHeightBasedList</w:t>
            </w:r>
            <w:proofErr w:type="spellEnd"/>
          </w:p>
          <w:p w14:paraId="7562857D" w14:textId="3639895B" w:rsidR="003D1100" w:rsidRPr="003D1100" w:rsidRDefault="003D1100" w:rsidP="004C0592">
            <w:r>
              <w:rPr>
                <w:color w:val="FF0000"/>
              </w:rPr>
              <w:t xml:space="preserve">List of height-dependent </w:t>
            </w:r>
            <w:proofErr w:type="spellStart"/>
            <w:r w:rsidRPr="000C5BA9">
              <w:rPr>
                <w:i/>
                <w:iCs/>
                <w:color w:val="FF0000"/>
              </w:rPr>
              <w:t>ssb-ToMeasure</w:t>
            </w:r>
            <w:proofErr w:type="spellEnd"/>
            <w:r>
              <w:rPr>
                <w:color w:val="FF0000"/>
              </w:rPr>
              <w:t xml:space="preserve">. </w:t>
            </w:r>
            <w:r w:rsidR="00EB1A71">
              <w:rPr>
                <w:color w:val="FF0000"/>
              </w:rPr>
              <w:t xml:space="preserve">When this list is included, </w:t>
            </w:r>
            <w:r w:rsidR="00EB1A71" w:rsidRPr="000C5BA9">
              <w:rPr>
                <w:i/>
                <w:iCs/>
                <w:color w:val="FF0000"/>
              </w:rPr>
              <w:t>ssb-ToMeasure-r18</w:t>
            </w:r>
            <w:r w:rsidR="00EB1A71">
              <w:rPr>
                <w:color w:val="FF0000"/>
              </w:rPr>
              <w:t xml:space="preserve"> is applicable for the UE height range indicated by </w:t>
            </w:r>
            <w:proofErr w:type="spellStart"/>
            <w:r w:rsidR="00EB1A71" w:rsidRPr="000C5BA9">
              <w:rPr>
                <w:i/>
                <w:iCs/>
                <w:color w:val="FF0000"/>
              </w:rPr>
              <w:t>heightRange</w:t>
            </w:r>
            <w:proofErr w:type="spellEnd"/>
            <w:r w:rsidR="00EB1A71">
              <w:rPr>
                <w:color w:val="FF0000"/>
              </w:rPr>
              <w:t xml:space="preserve">. </w:t>
            </w:r>
          </w:p>
        </w:tc>
      </w:tr>
    </w:tbl>
    <w:p w14:paraId="0F1470ED" w14:textId="6ACDEBFB" w:rsidR="003D1100" w:rsidRDefault="003D1100" w:rsidP="004C0592"/>
    <w:p w14:paraId="78E2EBAC" w14:textId="781374A5" w:rsidR="00B558F6" w:rsidRDefault="00B558F6" w:rsidP="005C34F6">
      <w:pPr>
        <w:pStyle w:val="Proposal"/>
      </w:pPr>
      <w:bookmarkStart w:id="3" w:name="_Toc134605773"/>
      <w:bookmarkStart w:id="4" w:name="_Toc134734416"/>
      <w:bookmarkStart w:id="5" w:name="_Toc134734947"/>
      <w:bookmarkStart w:id="6" w:name="_Toc134738197"/>
      <w:r>
        <w:t xml:space="preserve">Add height-based list of </w:t>
      </w:r>
      <w:r w:rsidRPr="005C34F6">
        <w:rPr>
          <w:i/>
          <w:iCs/>
        </w:rPr>
        <w:t>SSB-</w:t>
      </w:r>
      <w:proofErr w:type="spellStart"/>
      <w:r w:rsidRPr="005C34F6">
        <w:rPr>
          <w:i/>
          <w:iCs/>
        </w:rPr>
        <w:t>ToMeasure</w:t>
      </w:r>
      <w:proofErr w:type="spellEnd"/>
      <w:r>
        <w:t xml:space="preserve"> with corresponding height range</w:t>
      </w:r>
      <w:r w:rsidR="005C34F6">
        <w:t>s</w:t>
      </w:r>
      <w:r>
        <w:t xml:space="preserve"> and hysteresis in </w:t>
      </w:r>
      <w:proofErr w:type="spellStart"/>
      <w:r w:rsidRPr="005C34F6">
        <w:rPr>
          <w:i/>
          <w:iCs/>
        </w:rPr>
        <w:t>MeasObjectNR</w:t>
      </w:r>
      <w:proofErr w:type="spellEnd"/>
      <w:r w:rsidR="005957E2">
        <w:t xml:space="preserve"> (TP </w:t>
      </w:r>
      <w:r w:rsidR="005C34F6">
        <w:t xml:space="preserve">shown </w:t>
      </w:r>
      <w:r w:rsidR="005957E2">
        <w:t>above can be taken as baseline)</w:t>
      </w:r>
      <w:r>
        <w:t>.</w:t>
      </w:r>
      <w:bookmarkEnd w:id="3"/>
      <w:bookmarkEnd w:id="4"/>
      <w:bookmarkEnd w:id="5"/>
      <w:bookmarkEnd w:id="6"/>
    </w:p>
    <w:p w14:paraId="5CDDC8B5" w14:textId="3F557947" w:rsidR="00E81855" w:rsidRDefault="00E81855" w:rsidP="4351118E">
      <w:pPr>
        <w:pStyle w:val="Heading2"/>
        <w:spacing w:line="276" w:lineRule="auto"/>
        <w:rPr>
          <w:i w:val="0"/>
          <w:iCs w:val="0"/>
        </w:rPr>
      </w:pPr>
      <w:r w:rsidRPr="4351118E">
        <w:rPr>
          <w:i w:val="0"/>
          <w:iCs w:val="0"/>
        </w:rPr>
        <w:t xml:space="preserve">MR config parameters: </w:t>
      </w:r>
      <w:r w:rsidR="3CE73526" w:rsidRPr="4351118E">
        <w:rPr>
          <w:i w:val="0"/>
          <w:iCs w:val="0"/>
        </w:rPr>
        <w:t>a4-Threshold</w:t>
      </w:r>
      <w:r w:rsidRPr="4351118E">
        <w:rPr>
          <w:i w:val="0"/>
          <w:iCs w:val="0"/>
        </w:rPr>
        <w:t xml:space="preserve"> and </w:t>
      </w:r>
      <w:proofErr w:type="spellStart"/>
      <w:r w:rsidRPr="4351118E">
        <w:rPr>
          <w:i w:val="0"/>
          <w:iCs w:val="0"/>
        </w:rPr>
        <w:t>number</w:t>
      </w:r>
      <w:r w:rsidR="6BAC063D" w:rsidRPr="4351118E">
        <w:rPr>
          <w:i w:val="0"/>
          <w:iCs w:val="0"/>
        </w:rPr>
        <w:t>O</w:t>
      </w:r>
      <w:r w:rsidRPr="4351118E">
        <w:rPr>
          <w:i w:val="0"/>
          <w:iCs w:val="0"/>
        </w:rPr>
        <w:t>f</w:t>
      </w:r>
      <w:r w:rsidR="0FE9C5EE" w:rsidRPr="4351118E">
        <w:rPr>
          <w:i w:val="0"/>
          <w:iCs w:val="0"/>
        </w:rPr>
        <w:t>T</w:t>
      </w:r>
      <w:r w:rsidRPr="4351118E">
        <w:rPr>
          <w:i w:val="0"/>
          <w:iCs w:val="0"/>
        </w:rPr>
        <w:t>riggering</w:t>
      </w:r>
      <w:r w:rsidR="5F52B9BC" w:rsidRPr="4351118E">
        <w:rPr>
          <w:i w:val="0"/>
          <w:iCs w:val="0"/>
        </w:rPr>
        <w:t>C</w:t>
      </w:r>
      <w:r w:rsidRPr="4351118E">
        <w:rPr>
          <w:i w:val="0"/>
          <w:iCs w:val="0"/>
        </w:rPr>
        <w:t>ells</w:t>
      </w:r>
      <w:proofErr w:type="spellEnd"/>
    </w:p>
    <w:p w14:paraId="14D485E9" w14:textId="3343C89A" w:rsidR="00E81855" w:rsidRDefault="00E81855" w:rsidP="00E81855">
      <w:r>
        <w:t>RAN2 discussed briefly whether configuring the height dependent</w:t>
      </w:r>
      <w:r w:rsidR="00B46F1D">
        <w:t xml:space="preserve"> measurement reporting</w:t>
      </w:r>
      <w:r>
        <w:t xml:space="preserve"> parameters is possible using combination of </w:t>
      </w:r>
      <w:r w:rsidR="00DB665F">
        <w:t>another</w:t>
      </w:r>
      <w:r w:rsidR="00EE0923">
        <w:t xml:space="preserve"> </w:t>
      </w:r>
      <w:r>
        <w:t>event with</w:t>
      </w:r>
      <w:r w:rsidR="00EE0923">
        <w:t xml:space="preserve"> event</w:t>
      </w:r>
      <w:r>
        <w:t xml:space="preserve"> H1/H2.</w:t>
      </w:r>
    </w:p>
    <w:p w14:paraId="618CC4AE" w14:textId="0C9E9F7D" w:rsidR="00E81855" w:rsidRDefault="00E81855" w:rsidP="00E81855">
      <w:r>
        <w:t>In our view it is possible to use combination of events to configure these</w:t>
      </w:r>
      <w:r w:rsidR="00985082">
        <w:t xml:space="preserve"> height-dependent</w:t>
      </w:r>
      <w:r>
        <w:t xml:space="preserve"> MR parameters. </w:t>
      </w:r>
      <w:r w:rsidR="005B4FA7">
        <w:t>For this discussion, let’s t</w:t>
      </w:r>
      <w:r>
        <w:t xml:space="preserve">aking LTE RRC as baseline for H1/H2 definitions, </w:t>
      </w:r>
      <w:r w:rsidR="00620B84">
        <w:t>an</w:t>
      </w:r>
      <w:r w:rsidR="005B4FA7">
        <w:t>d transform that into RRC spec</w:t>
      </w:r>
      <w:r w:rsidR="00985082">
        <w:t>. A</w:t>
      </w:r>
      <w:r w:rsidR="005B4FA7">
        <w:t>n</w:t>
      </w:r>
      <w:r w:rsidR="00620B84">
        <w:t xml:space="preserve"> example ASN.1 is shown below.</w:t>
      </w:r>
    </w:p>
    <w:p w14:paraId="1610F5FF" w14:textId="77777777" w:rsidR="00A20960" w:rsidRDefault="00A20960" w:rsidP="00A20960">
      <w:pPr>
        <w:pStyle w:val="PL"/>
      </w:pPr>
      <w:r>
        <w:t xml:space="preserve">EventTriggerConfig::=                       </w:t>
      </w:r>
      <w:r>
        <w:rPr>
          <w:color w:val="993366"/>
        </w:rPr>
        <w:t>SEQUENCE</w:t>
      </w:r>
      <w:r>
        <w:t xml:space="preserve"> {</w:t>
      </w:r>
    </w:p>
    <w:p w14:paraId="23B9FC89" w14:textId="77777777" w:rsidR="00A20960" w:rsidRDefault="00A20960" w:rsidP="00A20960">
      <w:pPr>
        <w:pStyle w:val="PL"/>
      </w:pPr>
      <w:r>
        <w:t xml:space="preserve">    eventId                                     </w:t>
      </w:r>
      <w:r>
        <w:rPr>
          <w:color w:val="993366"/>
        </w:rPr>
        <w:t>CHOICE</w:t>
      </w:r>
      <w:r>
        <w:t xml:space="preserve"> {</w:t>
      </w:r>
    </w:p>
    <w:p w14:paraId="03ABCA25" w14:textId="1BDFE32D" w:rsidR="00A20960" w:rsidRDefault="00A20960" w:rsidP="00A20960">
      <w:pPr>
        <w:pStyle w:val="PL"/>
      </w:pPr>
      <w:r>
        <w:t xml:space="preserve">        &lt;&lt;skip&gt;&gt;</w:t>
      </w:r>
    </w:p>
    <w:p w14:paraId="7076B273" w14:textId="77777777" w:rsidR="00A20960" w:rsidRDefault="00A20960" w:rsidP="00A20960">
      <w:pPr>
        <w:pStyle w:val="PL"/>
      </w:pPr>
      <w:r>
        <w:t xml:space="preserve">        eventA4                                     </w:t>
      </w:r>
      <w:r>
        <w:rPr>
          <w:color w:val="993366"/>
        </w:rPr>
        <w:t>SEQUENCE</w:t>
      </w:r>
      <w:r>
        <w:t xml:space="preserve"> {</w:t>
      </w:r>
    </w:p>
    <w:p w14:paraId="14A8CAC9" w14:textId="77777777" w:rsidR="00A20960" w:rsidRDefault="00A20960" w:rsidP="00A20960">
      <w:pPr>
        <w:pStyle w:val="PL"/>
      </w:pPr>
      <w:r>
        <w:t xml:space="preserve">            a4-Threshold                                MeasTriggerQuantity,</w:t>
      </w:r>
    </w:p>
    <w:p w14:paraId="2A782ECD" w14:textId="77777777" w:rsidR="00A20960" w:rsidRDefault="00A20960" w:rsidP="00A20960">
      <w:pPr>
        <w:pStyle w:val="PL"/>
      </w:pPr>
      <w:r>
        <w:t xml:space="preserve">            reportOnLeave                               </w:t>
      </w:r>
      <w:r>
        <w:rPr>
          <w:color w:val="993366"/>
        </w:rPr>
        <w:t>BOOLEAN</w:t>
      </w:r>
      <w:r>
        <w:t>,</w:t>
      </w:r>
    </w:p>
    <w:p w14:paraId="5FA847A3" w14:textId="77777777" w:rsidR="00A20960" w:rsidRDefault="00A20960" w:rsidP="00A20960">
      <w:pPr>
        <w:pStyle w:val="PL"/>
      </w:pPr>
      <w:r>
        <w:t xml:space="preserve">            hysteresis                                  Hysteresis,</w:t>
      </w:r>
    </w:p>
    <w:p w14:paraId="55D117E6" w14:textId="77777777" w:rsidR="00A20960" w:rsidRDefault="00A20960" w:rsidP="00A20960">
      <w:pPr>
        <w:pStyle w:val="PL"/>
      </w:pPr>
      <w:r>
        <w:t xml:space="preserve">            timeToTrigger                               TimeToTrigger,</w:t>
      </w:r>
    </w:p>
    <w:p w14:paraId="518EAAAB" w14:textId="77777777" w:rsidR="00A20960" w:rsidRDefault="00A20960" w:rsidP="00A20960">
      <w:pPr>
        <w:pStyle w:val="PL"/>
      </w:pPr>
      <w:r>
        <w:t xml:space="preserve">            useAllowedCellList                          </w:t>
      </w:r>
      <w:r>
        <w:rPr>
          <w:color w:val="993366"/>
        </w:rPr>
        <w:t>BOOLEAN</w:t>
      </w:r>
    </w:p>
    <w:p w14:paraId="69365356" w14:textId="77777777" w:rsidR="00A20960" w:rsidRDefault="00A20960" w:rsidP="00A20960">
      <w:pPr>
        <w:pStyle w:val="PL"/>
      </w:pPr>
      <w:r>
        <w:t xml:space="preserve">        },</w:t>
      </w:r>
    </w:p>
    <w:p w14:paraId="4561A3FC" w14:textId="07DB4C73" w:rsidR="00A20960" w:rsidRDefault="00A20960" w:rsidP="00A20960">
      <w:pPr>
        <w:pStyle w:val="PL"/>
      </w:pPr>
      <w:r>
        <w:t xml:space="preserve">        </w:t>
      </w:r>
      <w:r w:rsidRPr="00A32F80">
        <w:rPr>
          <w:color w:val="FF0000"/>
        </w:rPr>
        <w:t>&lt;&lt;skip&gt;&gt;</w:t>
      </w:r>
    </w:p>
    <w:p w14:paraId="19ABC227" w14:textId="77777777" w:rsidR="00A20960" w:rsidRPr="00A32F80" w:rsidRDefault="00A20960" w:rsidP="00A20960">
      <w:pPr>
        <w:pStyle w:val="PL"/>
        <w:rPr>
          <w:color w:val="FF0000"/>
        </w:rPr>
      </w:pPr>
      <w:r w:rsidRPr="00A32F80">
        <w:rPr>
          <w:color w:val="FF0000"/>
        </w:rPr>
        <w:t xml:space="preserve">        [[</w:t>
      </w:r>
    </w:p>
    <w:p w14:paraId="1B5B572A" w14:textId="464577C0" w:rsidR="00A20960" w:rsidRPr="00A32F80" w:rsidRDefault="00A20960" w:rsidP="00A20960">
      <w:pPr>
        <w:pStyle w:val="PL"/>
        <w:rPr>
          <w:color w:val="FF0000"/>
        </w:rPr>
      </w:pPr>
      <w:r w:rsidRPr="00A32F80">
        <w:rPr>
          <w:color w:val="FF0000"/>
        </w:rPr>
        <w:t xml:space="preserve">        eventH1-r18                       SEQUENCE {</w:t>
      </w:r>
    </w:p>
    <w:p w14:paraId="1698A8C1" w14:textId="10DF0A87" w:rsidR="00A20960" w:rsidRPr="00A32F80" w:rsidRDefault="00A20960" w:rsidP="00A20960">
      <w:pPr>
        <w:pStyle w:val="PL"/>
        <w:rPr>
          <w:color w:val="FF0000"/>
        </w:rPr>
      </w:pPr>
      <w:r w:rsidRPr="00A32F80">
        <w:rPr>
          <w:color w:val="FF0000"/>
        </w:rPr>
        <w:t xml:space="preserve">            h1-ThresholdOffset-r18            INTEGER (0..300),</w:t>
      </w:r>
    </w:p>
    <w:p w14:paraId="73A2DC4A" w14:textId="15F98B38" w:rsidR="00A20960" w:rsidRPr="00A32F80" w:rsidRDefault="00A20960" w:rsidP="00A20960">
      <w:pPr>
        <w:pStyle w:val="PL"/>
        <w:rPr>
          <w:color w:val="FF0000"/>
        </w:rPr>
      </w:pPr>
      <w:r w:rsidRPr="00A32F80">
        <w:rPr>
          <w:color w:val="FF0000"/>
        </w:rPr>
        <w:t xml:space="preserve">            h1-Hysteresis-r18                 INTEGER (1..16)</w:t>
      </w:r>
    </w:p>
    <w:p w14:paraId="2DF8DD9B" w14:textId="6A5A2922" w:rsidR="00A20960" w:rsidRPr="00A32F80" w:rsidRDefault="00A20960" w:rsidP="00A20960">
      <w:pPr>
        <w:pStyle w:val="PL"/>
        <w:rPr>
          <w:color w:val="FF0000"/>
        </w:rPr>
      </w:pPr>
      <w:r w:rsidRPr="00A32F80">
        <w:rPr>
          <w:color w:val="FF0000"/>
        </w:rPr>
        <w:t xml:space="preserve">        },</w:t>
      </w:r>
    </w:p>
    <w:p w14:paraId="095DE4DA" w14:textId="4997B397" w:rsidR="00A20960" w:rsidRPr="00A32F80" w:rsidRDefault="00A20960" w:rsidP="00A20960">
      <w:pPr>
        <w:pStyle w:val="PL"/>
        <w:rPr>
          <w:color w:val="FF0000"/>
        </w:rPr>
      </w:pPr>
      <w:r w:rsidRPr="00A32F80">
        <w:rPr>
          <w:color w:val="FF0000"/>
        </w:rPr>
        <w:t xml:space="preserve">        eventH2-r1</w:t>
      </w:r>
      <w:r w:rsidR="00742101">
        <w:rPr>
          <w:color w:val="FF0000"/>
        </w:rPr>
        <w:t>8</w:t>
      </w:r>
      <w:r w:rsidRPr="00A32F80">
        <w:rPr>
          <w:color w:val="FF0000"/>
        </w:rPr>
        <w:t xml:space="preserve">                       SEQUENCE {</w:t>
      </w:r>
    </w:p>
    <w:p w14:paraId="7C9F394D" w14:textId="5BD18B6F" w:rsidR="00A20960" w:rsidRPr="00A32F80" w:rsidRDefault="00A20960" w:rsidP="00A20960">
      <w:pPr>
        <w:pStyle w:val="PL"/>
        <w:rPr>
          <w:color w:val="FF0000"/>
        </w:rPr>
      </w:pPr>
      <w:r w:rsidRPr="00A32F80">
        <w:rPr>
          <w:color w:val="FF0000"/>
        </w:rPr>
        <w:t xml:space="preserve">            h2-ThresholdOffset-r18            INTEGER (0..300),</w:t>
      </w:r>
    </w:p>
    <w:p w14:paraId="05D4649D" w14:textId="42A3D0CE" w:rsidR="00A20960" w:rsidRPr="00A32F80" w:rsidRDefault="00A20960" w:rsidP="00A20960">
      <w:pPr>
        <w:pStyle w:val="PL"/>
        <w:rPr>
          <w:color w:val="FF0000"/>
        </w:rPr>
      </w:pPr>
      <w:r w:rsidRPr="00A32F80">
        <w:rPr>
          <w:color w:val="FF0000"/>
        </w:rPr>
        <w:t xml:space="preserve">            h2-Hysteresis-r18                 INTEGER (1..16)</w:t>
      </w:r>
    </w:p>
    <w:p w14:paraId="4AACE4E9" w14:textId="47708D4E" w:rsidR="00A20960" w:rsidRPr="00A32F80" w:rsidRDefault="00A20960" w:rsidP="00A20960">
      <w:pPr>
        <w:pStyle w:val="PL"/>
        <w:rPr>
          <w:color w:val="FF0000"/>
        </w:rPr>
      </w:pPr>
      <w:r w:rsidRPr="00A32F80">
        <w:rPr>
          <w:color w:val="FF0000"/>
        </w:rPr>
        <w:t xml:space="preserve">        }</w:t>
      </w:r>
    </w:p>
    <w:p w14:paraId="43E9B34A" w14:textId="33BC400E" w:rsidR="00A20960" w:rsidRPr="00A32F80" w:rsidRDefault="00A20960" w:rsidP="00A20960">
      <w:pPr>
        <w:pStyle w:val="PL"/>
        <w:rPr>
          <w:color w:val="FF0000"/>
        </w:rPr>
      </w:pPr>
      <w:r w:rsidRPr="00A32F80">
        <w:rPr>
          <w:color w:val="FF0000"/>
        </w:rPr>
        <w:t xml:space="preserve">       ]]</w:t>
      </w:r>
    </w:p>
    <w:p w14:paraId="7A945379" w14:textId="77777777" w:rsidR="00A20960" w:rsidRDefault="00A20960" w:rsidP="00A20960">
      <w:pPr>
        <w:pStyle w:val="PL"/>
      </w:pPr>
      <w:r>
        <w:t xml:space="preserve">    },</w:t>
      </w:r>
    </w:p>
    <w:p w14:paraId="27534FC1" w14:textId="77777777" w:rsidR="00A20960" w:rsidRDefault="00A20960" w:rsidP="00A20960">
      <w:pPr>
        <w:pStyle w:val="PL"/>
      </w:pPr>
      <w:r>
        <w:t xml:space="preserve">    rsType                                      NR-RS-Type,</w:t>
      </w:r>
    </w:p>
    <w:p w14:paraId="42277043" w14:textId="77777777" w:rsidR="00A20960" w:rsidRDefault="00A20960" w:rsidP="00A20960">
      <w:pPr>
        <w:pStyle w:val="PL"/>
      </w:pPr>
      <w:r>
        <w:t xml:space="preserve">    reportInterval                              ReportInterval,</w:t>
      </w:r>
    </w:p>
    <w:p w14:paraId="7E0A8950" w14:textId="77777777" w:rsidR="00A20960" w:rsidRDefault="00A20960" w:rsidP="00A20960">
      <w:pPr>
        <w:pStyle w:val="PL"/>
      </w:pPr>
      <w:r>
        <w:t xml:space="preserve">    reportAmount                                </w:t>
      </w:r>
      <w:r>
        <w:rPr>
          <w:color w:val="993366"/>
        </w:rPr>
        <w:t>ENUMERATED</w:t>
      </w:r>
      <w:r>
        <w:t xml:space="preserve"> {r1, r2, r4, r8, r16, r32, r64, infinity},</w:t>
      </w:r>
    </w:p>
    <w:p w14:paraId="7542AD22" w14:textId="77777777" w:rsidR="00A20960" w:rsidRDefault="00A20960" w:rsidP="00A20960">
      <w:pPr>
        <w:pStyle w:val="PL"/>
      </w:pPr>
      <w:r>
        <w:t xml:space="preserve">    reportQuantityCell                          MeasReportQuantity,</w:t>
      </w:r>
    </w:p>
    <w:p w14:paraId="1E843B70" w14:textId="2D53FB3D" w:rsidR="00A20960" w:rsidRPr="00A32F80" w:rsidRDefault="003B12D5" w:rsidP="00A20960">
      <w:pPr>
        <w:pStyle w:val="PL"/>
        <w:rPr>
          <w:color w:val="FF0000"/>
        </w:rPr>
      </w:pPr>
      <w:r w:rsidRPr="00A32F80">
        <w:rPr>
          <w:color w:val="FF0000"/>
        </w:rPr>
        <w:t>&lt;&lt;skip&gt;&gt;</w:t>
      </w:r>
    </w:p>
    <w:p w14:paraId="09DA27AF" w14:textId="3F37E82B" w:rsidR="003B12D5" w:rsidRPr="00A32F80" w:rsidRDefault="003B12D5" w:rsidP="00A20960">
      <w:pPr>
        <w:pStyle w:val="PL"/>
        <w:rPr>
          <w:color w:val="FF0000"/>
        </w:rPr>
      </w:pPr>
      <w:r w:rsidRPr="00A32F80">
        <w:rPr>
          <w:color w:val="FF0000"/>
        </w:rPr>
        <w:t xml:space="preserve">    [[</w:t>
      </w:r>
    </w:p>
    <w:p w14:paraId="5ED27E54" w14:textId="57A3916B" w:rsidR="003B12D5" w:rsidRPr="00A32F80" w:rsidRDefault="003B12D5" w:rsidP="00A20960">
      <w:pPr>
        <w:pStyle w:val="PL"/>
        <w:rPr>
          <w:color w:val="FF0000"/>
        </w:rPr>
      </w:pPr>
      <w:r w:rsidRPr="00A32F80">
        <w:rPr>
          <w:color w:val="FF0000"/>
        </w:rPr>
        <w:t xml:space="preserve">       </w:t>
      </w:r>
      <w:bookmarkStart w:id="7" w:name="_Hlk134552552"/>
      <w:r w:rsidRPr="00A32F80">
        <w:rPr>
          <w:color w:val="FF0000"/>
        </w:rPr>
        <w:t>numberOfTriggeringCells</w:t>
      </w:r>
      <w:bookmarkEnd w:id="7"/>
      <w:r w:rsidRPr="00A32F80">
        <w:rPr>
          <w:color w:val="FF0000"/>
        </w:rPr>
        <w:t>-r18        INTEGER (2..maxCellReport)  OPTIONAL   -- Cond a3a4a5</w:t>
      </w:r>
    </w:p>
    <w:p w14:paraId="193F66B6" w14:textId="7DF8D5BD" w:rsidR="003B12D5" w:rsidRPr="00A32F80" w:rsidRDefault="003B12D5" w:rsidP="00A20960">
      <w:pPr>
        <w:pStyle w:val="PL"/>
        <w:rPr>
          <w:color w:val="FF0000"/>
        </w:rPr>
      </w:pPr>
      <w:r w:rsidRPr="00A32F80">
        <w:rPr>
          <w:color w:val="FF0000"/>
        </w:rPr>
        <w:t xml:space="preserve">    ]]</w:t>
      </w:r>
    </w:p>
    <w:p w14:paraId="51E8E83E" w14:textId="77777777" w:rsidR="00A20960" w:rsidRDefault="00A20960" w:rsidP="00A20960">
      <w:pPr>
        <w:pStyle w:val="PL"/>
      </w:pPr>
      <w:r>
        <w:t>}</w:t>
      </w:r>
    </w:p>
    <w:p w14:paraId="4F3399C7" w14:textId="41B3713B" w:rsidR="00620B84" w:rsidRDefault="00620B84" w:rsidP="00E81855"/>
    <w:p w14:paraId="1E1AA053" w14:textId="3ED7BAC1" w:rsidR="00C15A32" w:rsidRDefault="004C07FD" w:rsidP="00C15A32">
      <w:r>
        <w:t xml:space="preserve">Based on </w:t>
      </w:r>
      <w:r w:rsidR="005B33D2">
        <w:t xml:space="preserve">the </w:t>
      </w:r>
      <w:r>
        <w:t>above</w:t>
      </w:r>
      <w:r w:rsidR="005B33D2">
        <w:t xml:space="preserve"> ASN.1 snippet</w:t>
      </w:r>
      <w:r>
        <w:t xml:space="preserve">, </w:t>
      </w:r>
      <w:r w:rsidR="00C15A32">
        <w:t xml:space="preserve">configuration for different </w:t>
      </w:r>
      <w:proofErr w:type="spellStart"/>
      <w:r w:rsidR="00C15A32" w:rsidRPr="004C07FD">
        <w:rPr>
          <w:i/>
          <w:iCs/>
        </w:rPr>
        <w:t>numberOfTriggeringCells</w:t>
      </w:r>
      <w:proofErr w:type="spellEnd"/>
      <w:r w:rsidR="00C15A32">
        <w:t xml:space="preserve"> for different heights </w:t>
      </w:r>
      <w:r>
        <w:t>seems</w:t>
      </w:r>
      <w:r w:rsidR="00C15A32">
        <w:t xml:space="preserve"> straightforward. </w:t>
      </w:r>
      <w:proofErr w:type="gramStart"/>
      <w:r w:rsidR="00C15A32">
        <w:t>E.g.</w:t>
      </w:r>
      <w:proofErr w:type="gramEnd"/>
      <w:r w:rsidR="00C15A32">
        <w:t xml:space="preserve"> </w:t>
      </w:r>
      <w:r>
        <w:t xml:space="preserve">if intended configuration is </w:t>
      </w:r>
      <w:r w:rsidR="005B33D2">
        <w:t>a</w:t>
      </w:r>
      <w:r w:rsidR="00C15A32">
        <w:t xml:space="preserve"> value for &lt;50m and another value for &gt;50m, the network could configure </w:t>
      </w:r>
      <w:proofErr w:type="spellStart"/>
      <w:r w:rsidR="00C15A32" w:rsidRPr="004C07FD">
        <w:rPr>
          <w:i/>
          <w:iCs/>
        </w:rPr>
        <w:t>ReportConfigNR</w:t>
      </w:r>
      <w:proofErr w:type="spellEnd"/>
      <w:r w:rsidR="00C15A32">
        <w:t xml:space="preserve"> as follows</w:t>
      </w:r>
      <w:r>
        <w:t>:</w:t>
      </w:r>
    </w:p>
    <w:p w14:paraId="7E855A7B" w14:textId="36832B4B" w:rsidR="00C15A32" w:rsidRDefault="00C15A32" w:rsidP="00C15A32">
      <w:r>
        <w:t xml:space="preserve">1. Event H1 with h1 threshold = 50m with </w:t>
      </w:r>
      <w:proofErr w:type="spellStart"/>
      <w:r w:rsidRPr="004C07FD">
        <w:rPr>
          <w:i/>
          <w:iCs/>
        </w:rPr>
        <w:t>numberOfTriggeringCells</w:t>
      </w:r>
      <w:proofErr w:type="spellEnd"/>
      <w:r>
        <w:t xml:space="preserve"> value applicable for &gt;50m.</w:t>
      </w:r>
    </w:p>
    <w:p w14:paraId="5CED0D37" w14:textId="5890EF42" w:rsidR="00C15A32" w:rsidRDefault="00C15A32" w:rsidP="00C15A32">
      <w:r>
        <w:t xml:space="preserve">2. Event H2 with h2 threshold = 50m with </w:t>
      </w:r>
      <w:proofErr w:type="spellStart"/>
      <w:r w:rsidRPr="004C07FD">
        <w:rPr>
          <w:i/>
          <w:iCs/>
        </w:rPr>
        <w:t>numberOfTriggeringCells</w:t>
      </w:r>
      <w:proofErr w:type="spellEnd"/>
      <w:r>
        <w:t xml:space="preserve"> value applicable for &lt;50m.</w:t>
      </w:r>
    </w:p>
    <w:p w14:paraId="1C0BCD43" w14:textId="020A4B79" w:rsidR="005B4FA7" w:rsidRDefault="00C15A32" w:rsidP="00E81855">
      <w:r>
        <w:t>T</w:t>
      </w:r>
      <w:r w:rsidR="005B4FA7">
        <w:t>o configure</w:t>
      </w:r>
      <w:r>
        <w:t xml:space="preserve"> height dependent</w:t>
      </w:r>
      <w:r w:rsidR="005B4FA7">
        <w:t xml:space="preserve"> A4 threshold, </w:t>
      </w:r>
      <w:proofErr w:type="gramStart"/>
      <w:r w:rsidR="005B4FA7">
        <w:t>e.g.</w:t>
      </w:r>
      <w:proofErr w:type="gramEnd"/>
      <w:r w:rsidR="005B4FA7">
        <w:t xml:space="preserve"> one value for &lt;50m and another value above 50m, the network could configure </w:t>
      </w:r>
      <w:proofErr w:type="spellStart"/>
      <w:r w:rsidR="00B558F6" w:rsidRPr="004C07FD">
        <w:rPr>
          <w:i/>
          <w:iCs/>
        </w:rPr>
        <w:t>ReportConfigNR</w:t>
      </w:r>
      <w:proofErr w:type="spellEnd"/>
      <w:r w:rsidR="00B558F6">
        <w:t xml:space="preserve"> </w:t>
      </w:r>
      <w:r w:rsidR="005B4FA7">
        <w:t>as follows</w:t>
      </w:r>
      <w:r>
        <w:t xml:space="preserve"> (depending on how RAN2 concludes on combination of events)</w:t>
      </w:r>
    </w:p>
    <w:p w14:paraId="2804DBFD" w14:textId="4E5D2529" w:rsidR="005B4FA7" w:rsidRDefault="005B4FA7" w:rsidP="00E81855">
      <w:r>
        <w:t>1.</w:t>
      </w:r>
      <w:r w:rsidR="00C15A32">
        <w:t xml:space="preserve"> Event H1 with h1 threshold = 50m + Event A4 with</w:t>
      </w:r>
      <w:r>
        <w:t xml:space="preserve"> </w:t>
      </w:r>
      <w:r w:rsidR="00C15A32" w:rsidRPr="003015CD">
        <w:rPr>
          <w:i/>
          <w:iCs/>
        </w:rPr>
        <w:t>a4-threshold</w:t>
      </w:r>
      <w:r w:rsidR="00C15A32">
        <w:t xml:space="preserve"> value applicable for &gt;50m.</w:t>
      </w:r>
    </w:p>
    <w:p w14:paraId="77FE8F44" w14:textId="342A9705" w:rsidR="00C15A32" w:rsidRDefault="00C15A32" w:rsidP="00E81855">
      <w:r>
        <w:t xml:space="preserve">2. Event H2 with h2 threshold = 50m + Event A4 with </w:t>
      </w:r>
      <w:r w:rsidRPr="003015CD">
        <w:rPr>
          <w:i/>
          <w:iCs/>
        </w:rPr>
        <w:t>a4-threshold</w:t>
      </w:r>
      <w:r>
        <w:t xml:space="preserve"> value applicable for &lt;50m.</w:t>
      </w:r>
    </w:p>
    <w:p w14:paraId="60F06DC3" w14:textId="653F05BC" w:rsidR="00C15A32" w:rsidRDefault="00C15A32" w:rsidP="00E81855"/>
    <w:p w14:paraId="3DCBFA0E" w14:textId="3C5093C6" w:rsidR="00C15A32" w:rsidRDefault="00C15A32" w:rsidP="000C03BD">
      <w:pPr>
        <w:pStyle w:val="Observation"/>
      </w:pPr>
      <w:bookmarkStart w:id="8" w:name="_Toc134605767"/>
      <w:bookmarkStart w:id="9" w:name="_Toc134605779"/>
      <w:bookmarkStart w:id="10" w:name="_Toc134734423"/>
      <w:bookmarkStart w:id="11" w:name="_Toc134734940"/>
      <w:bookmarkStart w:id="12" w:name="_Toc134738190"/>
      <w:r>
        <w:t xml:space="preserve">Height dependent </w:t>
      </w:r>
      <w:r w:rsidR="008B15D0">
        <w:t>MR</w:t>
      </w:r>
      <w:r>
        <w:t xml:space="preserve"> </w:t>
      </w:r>
      <w:r w:rsidR="008B15D0">
        <w:t>c</w:t>
      </w:r>
      <w:r>
        <w:t>onfiguration parameters can be configured using combination of events.</w:t>
      </w:r>
      <w:bookmarkEnd w:id="8"/>
      <w:bookmarkEnd w:id="9"/>
      <w:bookmarkEnd w:id="10"/>
      <w:bookmarkEnd w:id="11"/>
      <w:bookmarkEnd w:id="12"/>
    </w:p>
    <w:p w14:paraId="58483A92" w14:textId="22826C2A" w:rsidR="00C15A32" w:rsidRDefault="008B15D0" w:rsidP="000C03BD">
      <w:pPr>
        <w:pStyle w:val="Proposal"/>
      </w:pPr>
      <w:bookmarkStart w:id="13" w:name="_Toc134605774"/>
      <w:bookmarkStart w:id="14" w:name="_Toc134734417"/>
      <w:bookmarkStart w:id="15" w:name="_Toc134734948"/>
      <w:bookmarkStart w:id="16" w:name="_Toc134738198"/>
      <w:r>
        <w:t>Use combination of events for the configuration of height-dependent MR configuration parameters.</w:t>
      </w:r>
      <w:bookmarkEnd w:id="13"/>
      <w:bookmarkEnd w:id="14"/>
      <w:bookmarkEnd w:id="15"/>
      <w:bookmarkEnd w:id="16"/>
    </w:p>
    <w:p w14:paraId="2645D6F9" w14:textId="35851069" w:rsidR="00775A18" w:rsidRPr="00C7066D" w:rsidRDefault="00775A18" w:rsidP="00775A18">
      <w:pPr>
        <w:pStyle w:val="Heading1"/>
        <w:spacing w:line="276" w:lineRule="auto"/>
      </w:pPr>
      <w:r w:rsidRPr="001D398F">
        <w:t xml:space="preserve">Reporting of height, </w:t>
      </w:r>
      <w:r w:rsidR="0067313E" w:rsidRPr="001D398F">
        <w:t>location,</w:t>
      </w:r>
      <w:r w:rsidRPr="001D398F">
        <w:t xml:space="preserve"> and </w:t>
      </w:r>
      <w:r w:rsidRPr="00C7066D">
        <w:t>velocity</w:t>
      </w:r>
    </w:p>
    <w:p w14:paraId="73CCC368" w14:textId="13AD1A21" w:rsidR="00E72C5D" w:rsidRDefault="00775A18" w:rsidP="00775A18">
      <w:pPr>
        <w:pStyle w:val="B-Body"/>
        <w:spacing w:line="276" w:lineRule="auto"/>
        <w:ind w:left="0"/>
        <w:jc w:val="both"/>
        <w:rPr>
          <w:sz w:val="20"/>
        </w:rPr>
      </w:pPr>
      <w:r>
        <w:rPr>
          <w:sz w:val="20"/>
        </w:rPr>
        <w:t>RAN2#1</w:t>
      </w:r>
      <w:r w:rsidR="0005708F">
        <w:rPr>
          <w:sz w:val="20"/>
        </w:rPr>
        <w:t>21</w:t>
      </w:r>
      <w:r>
        <w:rPr>
          <w:sz w:val="20"/>
        </w:rPr>
        <w:t xml:space="preserve"> agreed </w:t>
      </w:r>
      <w:r w:rsidR="00E72C5D">
        <w:rPr>
          <w:sz w:val="20"/>
        </w:rPr>
        <w:t>the following:</w:t>
      </w:r>
    </w:p>
    <w:p w14:paraId="31442A26" w14:textId="77777777" w:rsidR="0005708F" w:rsidRPr="0005708F" w:rsidRDefault="0005708F" w:rsidP="00795096">
      <w:pPr>
        <w:numPr>
          <w:ilvl w:val="0"/>
          <w:numId w:val="7"/>
        </w:numPr>
        <w:overflowPunct/>
        <w:autoSpaceDE/>
        <w:autoSpaceDN/>
        <w:adjustRightInd/>
        <w:spacing w:after="0"/>
        <w:textAlignment w:val="center"/>
        <w:rPr>
          <w:rFonts w:ascii="Arial" w:hAnsi="Arial" w:cs="Arial"/>
        </w:rPr>
      </w:pPr>
      <w:r w:rsidRPr="0005708F">
        <w:rPr>
          <w:rFonts w:ascii="Arial" w:hAnsi="Arial" w:cs="Arial"/>
        </w:rPr>
        <w:t>When event H1 or H2 triggers, the content of the measurement report is configurable by the network (</w:t>
      </w:r>
      <w:proofErr w:type="gramStart"/>
      <w:r w:rsidRPr="0005708F">
        <w:rPr>
          <w:rFonts w:ascii="Arial" w:hAnsi="Arial" w:cs="Arial"/>
        </w:rPr>
        <w:t>i.e.</w:t>
      </w:r>
      <w:proofErr w:type="gramEnd"/>
      <w:r w:rsidRPr="0005708F">
        <w:rPr>
          <w:rFonts w:ascii="Arial" w:hAnsi="Arial" w:cs="Arial"/>
        </w:rPr>
        <w:t xml:space="preserve"> it can contain UAV UEs height, location information and/or RSRP/RSRQ measurement results). </w:t>
      </w:r>
      <w:r w:rsidRPr="0005708F">
        <w:rPr>
          <w:rFonts w:ascii="Arial" w:hAnsi="Arial" w:cs="Arial"/>
          <w:highlight w:val="yellow"/>
        </w:rPr>
        <w:t>FFS</w:t>
      </w:r>
      <w:r w:rsidRPr="0005708F">
        <w:rPr>
          <w:rFonts w:ascii="Arial" w:hAnsi="Arial" w:cs="Arial"/>
        </w:rPr>
        <w:t xml:space="preserve"> whether UAV UE’s height is mandatorily </w:t>
      </w:r>
      <w:proofErr w:type="gramStart"/>
      <w:r w:rsidRPr="0005708F">
        <w:rPr>
          <w:rFonts w:ascii="Arial" w:hAnsi="Arial" w:cs="Arial"/>
        </w:rPr>
        <w:t>reported</w:t>
      </w:r>
      <w:proofErr w:type="gramEnd"/>
      <w:r w:rsidRPr="0005708F">
        <w:rPr>
          <w:rFonts w:ascii="Arial" w:hAnsi="Arial" w:cs="Arial"/>
        </w:rPr>
        <w:t xml:space="preserve"> and which parameter/IE is used for height reporting. </w:t>
      </w:r>
    </w:p>
    <w:p w14:paraId="713325B4" w14:textId="5092696D" w:rsidR="00044858" w:rsidRDefault="00044858" w:rsidP="00044858">
      <w:pPr>
        <w:pStyle w:val="B-Body"/>
        <w:spacing w:line="276" w:lineRule="auto"/>
        <w:ind w:left="0"/>
        <w:jc w:val="both"/>
        <w:rPr>
          <w:sz w:val="20"/>
        </w:rPr>
      </w:pPr>
      <w:r w:rsidRPr="00044858">
        <w:rPr>
          <w:sz w:val="20"/>
        </w:rPr>
        <w:t>In the following, we go through the open items from this agreement.</w:t>
      </w:r>
    </w:p>
    <w:p w14:paraId="58B9D35C" w14:textId="77777777" w:rsidR="00044858" w:rsidRPr="00B31A5C" w:rsidRDefault="00044858" w:rsidP="00044858">
      <w:pPr>
        <w:pStyle w:val="Heading2"/>
        <w:spacing w:line="276" w:lineRule="auto"/>
        <w:rPr>
          <w:i w:val="0"/>
        </w:rPr>
      </w:pPr>
      <w:r w:rsidRPr="00B31A5C">
        <w:rPr>
          <w:i w:val="0"/>
        </w:rPr>
        <w:t xml:space="preserve">Standalone reporting of height, location, velocity </w:t>
      </w:r>
    </w:p>
    <w:p w14:paraId="6BEE5965" w14:textId="77777777" w:rsidR="00044858" w:rsidRDefault="00044858" w:rsidP="00044858">
      <w:pPr>
        <w:pStyle w:val="B-Body"/>
        <w:spacing w:line="276" w:lineRule="auto"/>
        <w:ind w:left="0"/>
        <w:jc w:val="both"/>
        <w:rPr>
          <w:sz w:val="20"/>
        </w:rPr>
      </w:pPr>
      <w:r>
        <w:rPr>
          <w:sz w:val="20"/>
        </w:rPr>
        <w:t xml:space="preserve">Note that while (indefinite) periodic reporting for height reporting configuration is not supported in LTE, once an event is triggered, multiple (periodic) reports based on that trigger (as configured by </w:t>
      </w:r>
      <w:proofErr w:type="spellStart"/>
      <w:r w:rsidRPr="00DB23A5">
        <w:rPr>
          <w:i/>
          <w:iCs/>
          <w:sz w:val="20"/>
        </w:rPr>
        <w:t>reportAmount</w:t>
      </w:r>
      <w:proofErr w:type="spellEnd"/>
      <w:r>
        <w:rPr>
          <w:sz w:val="20"/>
        </w:rPr>
        <w:t xml:space="preserve"> &gt;1 and corresponding </w:t>
      </w:r>
      <w:proofErr w:type="spellStart"/>
      <w:r w:rsidRPr="00DB23A5">
        <w:rPr>
          <w:i/>
          <w:iCs/>
          <w:sz w:val="20"/>
        </w:rPr>
        <w:t>reportInterval</w:t>
      </w:r>
      <w:proofErr w:type="spellEnd"/>
      <w:r>
        <w:rPr>
          <w:sz w:val="20"/>
        </w:rPr>
        <w:t xml:space="preserve">) are possible. </w:t>
      </w:r>
    </w:p>
    <w:p w14:paraId="3B4CE065" w14:textId="36012399" w:rsidR="00044858" w:rsidRDefault="00044858" w:rsidP="00044858">
      <w:pPr>
        <w:pStyle w:val="B-Body"/>
        <w:spacing w:line="276" w:lineRule="auto"/>
        <w:ind w:left="0"/>
        <w:jc w:val="both"/>
        <w:rPr>
          <w:sz w:val="20"/>
        </w:rPr>
      </w:pPr>
      <w:r>
        <w:rPr>
          <w:sz w:val="20"/>
        </w:rPr>
        <w:t>However, height measurement alone cannot be sent in LTE without including it with other radio measurements. Similarly, UAV’s location and velocity measurements cannot be sent alone in LTE without including it with other radio measurements.</w:t>
      </w:r>
    </w:p>
    <w:p w14:paraId="0F494FDF" w14:textId="77777777" w:rsidR="00044858" w:rsidRDefault="00044858" w:rsidP="00044858">
      <w:pPr>
        <w:pStyle w:val="Observation"/>
      </w:pPr>
      <w:bookmarkStart w:id="17" w:name="_Toc110516155"/>
      <w:bookmarkStart w:id="18" w:name="_Toc110532034"/>
      <w:bookmarkStart w:id="19" w:name="_Toc110532539"/>
      <w:bookmarkStart w:id="20" w:name="_Toc110954666"/>
      <w:bookmarkStart w:id="21" w:name="_Toc110970722"/>
      <w:bookmarkStart w:id="22" w:name="_Toc110972907"/>
      <w:bookmarkStart w:id="23" w:name="_Toc115276558"/>
      <w:bookmarkStart w:id="24" w:name="_Toc115276577"/>
      <w:bookmarkStart w:id="25" w:name="_Toc115276726"/>
      <w:bookmarkStart w:id="26" w:name="_Toc115338449"/>
      <w:bookmarkStart w:id="27" w:name="_Toc115376647"/>
      <w:bookmarkStart w:id="28" w:name="_Toc115376829"/>
      <w:bookmarkStart w:id="29" w:name="_Toc118304727"/>
      <w:bookmarkStart w:id="30" w:name="_Toc118304772"/>
      <w:bookmarkStart w:id="31" w:name="_Toc118316909"/>
      <w:bookmarkStart w:id="32" w:name="_Toc118317299"/>
      <w:bookmarkStart w:id="33" w:name="_Toc118384893"/>
      <w:bookmarkStart w:id="34" w:name="_Toc118385278"/>
      <w:bookmarkStart w:id="35" w:name="_Toc131668783"/>
      <w:bookmarkStart w:id="36" w:name="_Toc131717538"/>
      <w:bookmarkStart w:id="37" w:name="_Toc134605768"/>
      <w:bookmarkStart w:id="38" w:name="_Toc134605780"/>
      <w:bookmarkStart w:id="39" w:name="_Toc134734424"/>
      <w:bookmarkStart w:id="40" w:name="_Toc134734941"/>
      <w:bookmarkStart w:id="41" w:name="_Hlk127363053"/>
      <w:bookmarkStart w:id="42" w:name="_Toc134738191"/>
      <w:r>
        <w:t>According to LTE procedure for H1/H2 triggered measurement reporting, height, location and/or velocity measurement reports cannot be sent alone without being included along with other radio measurements.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2"/>
    </w:p>
    <w:bookmarkEnd w:id="41"/>
    <w:p w14:paraId="0A89D4F0" w14:textId="77777777" w:rsidR="00044858" w:rsidRDefault="00044858" w:rsidP="00044858">
      <w:pPr>
        <w:spacing w:line="276" w:lineRule="auto"/>
      </w:pPr>
      <w:r>
        <w:t>In some cases, the network may benefit from the ability to configure height, location and/or velocity report alone (</w:t>
      </w:r>
      <w:proofErr w:type="gramStart"/>
      <w:r>
        <w:t>e.g.</w:t>
      </w:r>
      <w:proofErr w:type="gramEnd"/>
      <w:r>
        <w:t xml:space="preserve"> if a large UL grant could not be provided to fit the full RRM report).  </w:t>
      </w:r>
    </w:p>
    <w:p w14:paraId="64BAB422" w14:textId="77777777" w:rsidR="00044858" w:rsidRDefault="00044858" w:rsidP="00044858">
      <w:pPr>
        <w:pStyle w:val="Observation"/>
      </w:pPr>
      <w:r>
        <w:t xml:space="preserve">  </w:t>
      </w:r>
      <w:bookmarkStart w:id="43" w:name="_Toc110972908"/>
      <w:bookmarkStart w:id="44" w:name="_Toc115276559"/>
      <w:bookmarkStart w:id="45" w:name="_Toc115276578"/>
      <w:bookmarkStart w:id="46" w:name="_Toc115276727"/>
      <w:bookmarkStart w:id="47" w:name="_Toc115338450"/>
      <w:bookmarkStart w:id="48" w:name="_Toc115376648"/>
      <w:bookmarkStart w:id="49" w:name="_Toc115376830"/>
      <w:bookmarkStart w:id="50" w:name="_Toc118304728"/>
      <w:bookmarkStart w:id="51" w:name="_Toc118304773"/>
      <w:bookmarkStart w:id="52" w:name="_Toc118316910"/>
      <w:bookmarkStart w:id="53" w:name="_Toc118317300"/>
      <w:bookmarkStart w:id="54" w:name="_Toc118384894"/>
      <w:bookmarkStart w:id="55" w:name="_Toc118385279"/>
      <w:bookmarkStart w:id="56" w:name="_Toc131668784"/>
      <w:bookmarkStart w:id="57" w:name="_Toc131717539"/>
      <w:bookmarkStart w:id="58" w:name="_Toc134605769"/>
      <w:bookmarkStart w:id="59" w:name="_Toc134605781"/>
      <w:bookmarkStart w:id="60" w:name="_Toc134734425"/>
      <w:bookmarkStart w:id="61" w:name="_Toc134734942"/>
      <w:bookmarkStart w:id="62" w:name="_Toc134738192"/>
      <w:r>
        <w:t>For some use cases, reporting height, location and/or velocity without accompanying RRM report is desirable.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 xml:space="preserve"> </w:t>
      </w:r>
    </w:p>
    <w:p w14:paraId="699D57FD" w14:textId="77777777" w:rsidR="00044858" w:rsidRDefault="00044858" w:rsidP="00044858">
      <w:pPr>
        <w:spacing w:line="276" w:lineRule="auto"/>
      </w:pPr>
      <w:r>
        <w:t xml:space="preserve">Therefore, reporting of height, location or velocity alone should be supported for NR UAVs. This is also in-line with the RAN2#121 agreement: </w:t>
      </w:r>
    </w:p>
    <w:p w14:paraId="5445645E" w14:textId="77777777" w:rsidR="00044858" w:rsidRPr="00D802A0" w:rsidRDefault="00044858" w:rsidP="00044858">
      <w:pPr>
        <w:spacing w:line="276" w:lineRule="auto"/>
        <w:ind w:left="360"/>
        <w:rPr>
          <w:i/>
          <w:iCs/>
        </w:rPr>
      </w:pPr>
      <w:r w:rsidRPr="0005708F">
        <w:rPr>
          <w:rFonts w:ascii="Arial" w:hAnsi="Arial" w:cs="Arial"/>
          <w:i/>
          <w:iCs/>
        </w:rPr>
        <w:t>When event H1 or H2 triggers, the content of the measurement report is configurable by the network (</w:t>
      </w:r>
      <w:proofErr w:type="gramStart"/>
      <w:r w:rsidRPr="0005708F">
        <w:rPr>
          <w:rFonts w:ascii="Arial" w:hAnsi="Arial" w:cs="Arial"/>
          <w:i/>
          <w:iCs/>
        </w:rPr>
        <w:t>i.e.</w:t>
      </w:r>
      <w:proofErr w:type="gramEnd"/>
      <w:r w:rsidRPr="0005708F">
        <w:rPr>
          <w:rFonts w:ascii="Arial" w:hAnsi="Arial" w:cs="Arial"/>
          <w:i/>
          <w:iCs/>
        </w:rPr>
        <w:t xml:space="preserve"> it can contain UAV UEs height, location information </w:t>
      </w:r>
      <w:r w:rsidRPr="0005708F">
        <w:rPr>
          <w:rFonts w:ascii="Arial" w:hAnsi="Arial" w:cs="Arial"/>
          <w:i/>
          <w:iCs/>
          <w:highlight w:val="yellow"/>
        </w:rPr>
        <w:t>and/or</w:t>
      </w:r>
      <w:r w:rsidRPr="0005708F">
        <w:rPr>
          <w:rFonts w:ascii="Arial" w:hAnsi="Arial" w:cs="Arial"/>
          <w:i/>
          <w:iCs/>
        </w:rPr>
        <w:t xml:space="preserve"> RSRP/RSRQ measurement results)</w:t>
      </w:r>
    </w:p>
    <w:p w14:paraId="052853BA" w14:textId="77777777" w:rsidR="00044858" w:rsidRDefault="00044858" w:rsidP="00044858">
      <w:pPr>
        <w:pStyle w:val="Proposal"/>
        <w:spacing w:line="276" w:lineRule="auto"/>
        <w:ind w:left="0" w:firstLine="0"/>
      </w:pPr>
      <w:bookmarkStart w:id="63" w:name="_Toc110506067"/>
      <w:bookmarkStart w:id="64" w:name="_Toc110516160"/>
      <w:bookmarkStart w:id="65" w:name="_Toc110532040"/>
      <w:bookmarkStart w:id="66" w:name="_Toc110532548"/>
      <w:bookmarkStart w:id="67" w:name="_Toc110954673"/>
      <w:bookmarkStart w:id="68" w:name="_Toc110970729"/>
      <w:bookmarkStart w:id="69" w:name="_Toc110972915"/>
      <w:bookmarkStart w:id="70" w:name="_Toc115276630"/>
      <w:bookmarkStart w:id="71" w:name="_Toc115276734"/>
      <w:bookmarkStart w:id="72" w:name="_Toc115338440"/>
      <w:bookmarkStart w:id="73" w:name="_Toc115376659"/>
      <w:bookmarkStart w:id="74" w:name="_Toc118304811"/>
      <w:bookmarkStart w:id="75" w:name="_Toc118316919"/>
      <w:bookmarkStart w:id="76" w:name="_Toc118317309"/>
      <w:bookmarkStart w:id="77" w:name="_Toc118384903"/>
      <w:bookmarkStart w:id="78" w:name="_Toc118385288"/>
      <w:bookmarkStart w:id="79" w:name="_Toc131668788"/>
      <w:bookmarkStart w:id="80" w:name="_Toc131717543"/>
      <w:bookmarkStart w:id="81" w:name="_Toc134605775"/>
      <w:bookmarkStart w:id="82" w:name="_Toc134734418"/>
      <w:bookmarkStart w:id="83" w:name="_Toc134734949"/>
      <w:bookmarkStart w:id="84" w:name="_Toc134738199"/>
      <w:r>
        <w:t>UE height, location and/or velocity reporting without being accompanied by other RRM report is supported.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720B76C" w14:textId="418B3BFE" w:rsidR="00044858" w:rsidRPr="00A17AAF" w:rsidRDefault="00A17AAF" w:rsidP="00A17AAF">
      <w:pPr>
        <w:pStyle w:val="Heading2"/>
        <w:spacing w:line="276" w:lineRule="auto"/>
        <w:rPr>
          <w:i w:val="0"/>
        </w:rPr>
      </w:pPr>
      <w:proofErr w:type="spellStart"/>
      <w:r w:rsidRPr="00A17AAF">
        <w:rPr>
          <w:i w:val="0"/>
        </w:rPr>
        <w:t>FFSes</w:t>
      </w:r>
      <w:proofErr w:type="spellEnd"/>
      <w:r w:rsidRPr="00A17AAF">
        <w:rPr>
          <w:i w:val="0"/>
        </w:rPr>
        <w:t xml:space="preserve"> on UE height reporting </w:t>
      </w:r>
    </w:p>
    <w:p w14:paraId="69350CB2" w14:textId="680A119A" w:rsidR="00A17AAF" w:rsidRPr="001363FD" w:rsidRDefault="00A17AAF" w:rsidP="00A17AAF">
      <w:pPr>
        <w:pStyle w:val="Heading3"/>
      </w:pPr>
      <w:bookmarkStart w:id="85" w:name="_Hlk131666450"/>
      <w:r>
        <w:t xml:space="preserve">Optional/Mandatory UE </w:t>
      </w:r>
      <w:r w:rsidRPr="001363FD">
        <w:t>height</w:t>
      </w:r>
      <w:r>
        <w:t xml:space="preserve"> reporting</w:t>
      </w:r>
    </w:p>
    <w:p w14:paraId="49875D96" w14:textId="287C6717" w:rsidR="005E02DC" w:rsidRDefault="005E02DC" w:rsidP="005E02DC">
      <w:pPr>
        <w:pStyle w:val="B-Body"/>
        <w:spacing w:line="276" w:lineRule="auto"/>
        <w:ind w:left="0"/>
        <w:jc w:val="both"/>
        <w:rPr>
          <w:sz w:val="20"/>
        </w:rPr>
      </w:pPr>
      <w:r>
        <w:rPr>
          <w:sz w:val="20"/>
        </w:rPr>
        <w:t xml:space="preserve">In LTE (Rel-15), the UE height reporting was based on a RRC field </w:t>
      </w:r>
      <w:proofErr w:type="spellStart"/>
      <w:r w:rsidRPr="00FE5DA4">
        <w:rPr>
          <w:i/>
          <w:iCs/>
          <w:sz w:val="20"/>
        </w:rPr>
        <w:t>heightUE</w:t>
      </w:r>
      <w:proofErr w:type="spellEnd"/>
      <w:r>
        <w:rPr>
          <w:sz w:val="20"/>
        </w:rPr>
        <w:t xml:space="preserve"> which the UE includes along with other measurement reports when </w:t>
      </w:r>
      <w:r w:rsidRPr="0067313E">
        <w:rPr>
          <w:i/>
          <w:iCs/>
          <w:sz w:val="20"/>
        </w:rPr>
        <w:t>eventH1</w:t>
      </w:r>
      <w:r>
        <w:rPr>
          <w:sz w:val="20"/>
        </w:rPr>
        <w:t xml:space="preserve"> or </w:t>
      </w:r>
      <w:r w:rsidRPr="0067313E">
        <w:rPr>
          <w:i/>
          <w:iCs/>
          <w:sz w:val="20"/>
        </w:rPr>
        <w:t>eventH2</w:t>
      </w:r>
      <w:r>
        <w:rPr>
          <w:sz w:val="20"/>
        </w:rPr>
        <w:t xml:space="preserve"> is configured and triggered.</w:t>
      </w:r>
    </w:p>
    <w:p w14:paraId="691E2605" w14:textId="77777777" w:rsidR="005E02DC" w:rsidRDefault="005E02DC" w:rsidP="005E02DC">
      <w:pPr>
        <w:pStyle w:val="B-Body"/>
        <w:spacing w:line="276" w:lineRule="auto"/>
        <w:ind w:left="0"/>
        <w:jc w:val="both"/>
        <w:rPr>
          <w:sz w:val="20"/>
        </w:rPr>
      </w:pPr>
      <w:r>
        <w:rPr>
          <w:sz w:val="20"/>
        </w:rPr>
        <w:t>From TS 36.331, section 5.5.5.1</w:t>
      </w:r>
    </w:p>
    <w:tbl>
      <w:tblPr>
        <w:tblStyle w:val="TableGrid"/>
        <w:tblW w:w="0" w:type="auto"/>
        <w:tblLook w:val="04A0" w:firstRow="1" w:lastRow="0" w:firstColumn="1" w:lastColumn="0" w:noHBand="0" w:noVBand="1"/>
      </w:tblPr>
      <w:tblGrid>
        <w:gridCol w:w="9350"/>
      </w:tblGrid>
      <w:tr w:rsidR="005E02DC" w14:paraId="0F102B76" w14:textId="77777777" w:rsidTr="00E653BC">
        <w:tc>
          <w:tcPr>
            <w:tcW w:w="9350" w:type="dxa"/>
          </w:tcPr>
          <w:p w14:paraId="44A5888D" w14:textId="77777777" w:rsidR="005E02DC" w:rsidRPr="00061D3C" w:rsidRDefault="005E02DC" w:rsidP="00E653BC">
            <w:pPr>
              <w:overflowPunct/>
              <w:autoSpaceDE/>
              <w:autoSpaceDN/>
              <w:adjustRightInd/>
              <w:spacing w:line="276" w:lineRule="auto"/>
              <w:textAlignment w:val="auto"/>
              <w:rPr>
                <w:color w:val="000000"/>
                <w:lang w:val="en-US"/>
              </w:rPr>
            </w:pPr>
            <w:r w:rsidRPr="00061D3C">
              <w:rPr>
                <w:color w:val="000000"/>
              </w:rPr>
              <w:t>For the </w:t>
            </w:r>
            <w:proofErr w:type="spellStart"/>
            <w:r w:rsidRPr="00061D3C">
              <w:rPr>
                <w:i/>
                <w:iCs/>
                <w:color w:val="000000"/>
              </w:rPr>
              <w:t>measId</w:t>
            </w:r>
            <w:proofErr w:type="spellEnd"/>
            <w:r w:rsidRPr="00061D3C">
              <w:rPr>
                <w:color w:val="000000"/>
              </w:rPr>
              <w:t> for which the measurement reporting procedure was triggered, the UE shall set the </w:t>
            </w:r>
            <w:proofErr w:type="spellStart"/>
            <w:r w:rsidRPr="00061D3C">
              <w:rPr>
                <w:i/>
                <w:iCs/>
                <w:color w:val="000000"/>
              </w:rPr>
              <w:t>measResults</w:t>
            </w:r>
            <w:proofErr w:type="spellEnd"/>
            <w:r w:rsidRPr="00061D3C">
              <w:rPr>
                <w:color w:val="000000"/>
              </w:rPr>
              <w:t> within the </w:t>
            </w:r>
            <w:proofErr w:type="spellStart"/>
            <w:r w:rsidRPr="00061D3C">
              <w:rPr>
                <w:i/>
                <w:iCs/>
                <w:color w:val="000000"/>
              </w:rPr>
              <w:t>MeasurementReport</w:t>
            </w:r>
            <w:proofErr w:type="spellEnd"/>
            <w:r w:rsidRPr="00061D3C">
              <w:rPr>
                <w:color w:val="000000"/>
              </w:rPr>
              <w:t> message as follows:</w:t>
            </w:r>
          </w:p>
          <w:p w14:paraId="1D7450EE" w14:textId="77777777" w:rsidR="005E02DC" w:rsidRPr="00061D3C" w:rsidRDefault="005E02DC" w:rsidP="00E653BC">
            <w:pPr>
              <w:overflowPunct/>
              <w:autoSpaceDE/>
              <w:autoSpaceDN/>
              <w:adjustRightInd/>
              <w:spacing w:line="276" w:lineRule="auto"/>
              <w:ind w:left="568" w:hanging="284"/>
              <w:textAlignment w:val="auto"/>
              <w:rPr>
                <w:color w:val="000000"/>
                <w:lang w:val="en-US"/>
              </w:rPr>
            </w:pPr>
            <w:r w:rsidRPr="00061D3C">
              <w:rPr>
                <w:color w:val="000000"/>
              </w:rPr>
              <w:t>1&gt;  set the </w:t>
            </w:r>
            <w:proofErr w:type="spellStart"/>
            <w:r w:rsidRPr="00061D3C">
              <w:rPr>
                <w:i/>
                <w:iCs/>
                <w:color w:val="000000"/>
              </w:rPr>
              <w:t>measId</w:t>
            </w:r>
            <w:proofErr w:type="spellEnd"/>
            <w:r w:rsidRPr="00061D3C">
              <w:rPr>
                <w:color w:val="000000"/>
              </w:rPr>
              <w:t xml:space="preserve"> to the measurement identity that triggered the measurement </w:t>
            </w:r>
            <w:proofErr w:type="gramStart"/>
            <w:r w:rsidRPr="00061D3C">
              <w:rPr>
                <w:color w:val="000000"/>
              </w:rPr>
              <w:t>reporting;</w:t>
            </w:r>
            <w:proofErr w:type="gramEnd"/>
          </w:p>
          <w:p w14:paraId="12518DC9" w14:textId="77777777" w:rsidR="005E02DC" w:rsidRDefault="005E02DC" w:rsidP="00E653BC">
            <w:pPr>
              <w:pStyle w:val="B-Body"/>
              <w:spacing w:line="276" w:lineRule="auto"/>
              <w:ind w:left="0"/>
              <w:jc w:val="both"/>
              <w:rPr>
                <w:sz w:val="20"/>
              </w:rPr>
            </w:pPr>
            <w:r>
              <w:rPr>
                <w:sz w:val="20"/>
              </w:rPr>
              <w:t>…</w:t>
            </w:r>
          </w:p>
          <w:p w14:paraId="5DB90AE5" w14:textId="77777777" w:rsidR="005E02DC" w:rsidRDefault="005E02DC" w:rsidP="00E653BC">
            <w:pPr>
              <w:pStyle w:val="b10"/>
              <w:spacing w:before="0" w:beforeAutospacing="0" w:after="180" w:afterAutospacing="0" w:line="276" w:lineRule="auto"/>
              <w:ind w:left="568" w:hanging="284"/>
              <w:rPr>
                <w:color w:val="000000"/>
                <w:sz w:val="20"/>
                <w:szCs w:val="20"/>
              </w:rPr>
            </w:pPr>
            <w:r>
              <w:rPr>
                <w:color w:val="000000"/>
                <w:sz w:val="20"/>
                <w:szCs w:val="20"/>
                <w:lang w:val="en-GB"/>
              </w:rPr>
              <w:t>1&gt;  if the </w:t>
            </w:r>
            <w:proofErr w:type="spellStart"/>
            <w:r>
              <w:rPr>
                <w:i/>
                <w:iCs/>
                <w:color w:val="000000"/>
                <w:sz w:val="20"/>
                <w:szCs w:val="20"/>
                <w:lang w:val="en-GB"/>
              </w:rPr>
              <w:t>triggerType</w:t>
            </w:r>
            <w:proofErr w:type="spellEnd"/>
            <w:r>
              <w:rPr>
                <w:color w:val="000000"/>
                <w:sz w:val="20"/>
                <w:szCs w:val="20"/>
                <w:lang w:val="en-GB"/>
              </w:rPr>
              <w:t> is set to </w:t>
            </w:r>
            <w:r>
              <w:rPr>
                <w:i/>
                <w:iCs/>
                <w:color w:val="000000"/>
                <w:sz w:val="20"/>
                <w:szCs w:val="20"/>
                <w:lang w:val="en-GB"/>
              </w:rPr>
              <w:t>event</w:t>
            </w:r>
            <w:r>
              <w:rPr>
                <w:color w:val="000000"/>
                <w:sz w:val="20"/>
                <w:szCs w:val="20"/>
                <w:lang w:val="en-GB"/>
              </w:rPr>
              <w:t>; and if </w:t>
            </w:r>
            <w:proofErr w:type="spellStart"/>
            <w:r>
              <w:rPr>
                <w:i/>
                <w:iCs/>
                <w:color w:val="000000"/>
                <w:sz w:val="20"/>
                <w:szCs w:val="20"/>
                <w:lang w:val="en-GB"/>
              </w:rPr>
              <w:t>eventId</w:t>
            </w:r>
            <w:proofErr w:type="spellEnd"/>
            <w:r>
              <w:rPr>
                <w:color w:val="000000"/>
                <w:sz w:val="20"/>
                <w:szCs w:val="20"/>
                <w:lang w:val="en-GB"/>
              </w:rPr>
              <w:t> is set to </w:t>
            </w:r>
            <w:r>
              <w:rPr>
                <w:i/>
                <w:iCs/>
                <w:color w:val="000000"/>
                <w:sz w:val="20"/>
                <w:szCs w:val="20"/>
                <w:lang w:val="en-GB"/>
              </w:rPr>
              <w:t>eventH1</w:t>
            </w:r>
            <w:r>
              <w:rPr>
                <w:color w:val="000000"/>
                <w:sz w:val="20"/>
                <w:szCs w:val="20"/>
                <w:lang w:val="en-GB"/>
              </w:rPr>
              <w:t> or </w:t>
            </w:r>
            <w:r>
              <w:rPr>
                <w:i/>
                <w:iCs/>
                <w:color w:val="000000"/>
                <w:sz w:val="20"/>
                <w:szCs w:val="20"/>
                <w:lang w:val="en-GB"/>
              </w:rPr>
              <w:t>eventH2</w:t>
            </w:r>
            <w:r>
              <w:rPr>
                <w:color w:val="000000"/>
                <w:sz w:val="20"/>
                <w:szCs w:val="20"/>
                <w:lang w:val="en-GB"/>
              </w:rPr>
              <w:t>:</w:t>
            </w:r>
          </w:p>
          <w:p w14:paraId="1EE3D9D8" w14:textId="77777777" w:rsidR="005E02DC" w:rsidRDefault="005E02DC" w:rsidP="00E653BC">
            <w:pPr>
              <w:pStyle w:val="b2"/>
              <w:spacing w:before="0" w:beforeAutospacing="0" w:after="180" w:afterAutospacing="0" w:line="276" w:lineRule="auto"/>
              <w:ind w:left="851" w:hanging="284"/>
              <w:rPr>
                <w:color w:val="000000"/>
                <w:sz w:val="20"/>
                <w:szCs w:val="20"/>
              </w:rPr>
            </w:pPr>
            <w:r>
              <w:rPr>
                <w:color w:val="000000"/>
                <w:sz w:val="20"/>
                <w:szCs w:val="20"/>
                <w:lang w:val="en-GB"/>
              </w:rPr>
              <w:t>2&gt;  set the </w:t>
            </w:r>
            <w:proofErr w:type="spellStart"/>
            <w:r>
              <w:rPr>
                <w:i/>
                <w:iCs/>
                <w:color w:val="000000"/>
                <w:sz w:val="20"/>
                <w:szCs w:val="20"/>
                <w:lang w:val="en-GB"/>
              </w:rPr>
              <w:t>heightUE</w:t>
            </w:r>
            <w:proofErr w:type="spellEnd"/>
            <w:r>
              <w:rPr>
                <w:color w:val="000000"/>
                <w:sz w:val="20"/>
                <w:szCs w:val="20"/>
                <w:lang w:val="en-GB"/>
              </w:rPr>
              <w:t xml:space="preserve"> to include the altitude of the </w:t>
            </w:r>
            <w:proofErr w:type="gramStart"/>
            <w:r>
              <w:rPr>
                <w:color w:val="000000"/>
                <w:sz w:val="20"/>
                <w:szCs w:val="20"/>
                <w:lang w:val="en-GB"/>
              </w:rPr>
              <w:t>UE;</w:t>
            </w:r>
            <w:proofErr w:type="gramEnd"/>
          </w:p>
          <w:p w14:paraId="26290777" w14:textId="77777777" w:rsidR="005E02DC" w:rsidRDefault="005E02DC" w:rsidP="00E653BC">
            <w:pPr>
              <w:pStyle w:val="B-Body"/>
              <w:spacing w:line="276" w:lineRule="auto"/>
              <w:ind w:left="0"/>
              <w:jc w:val="both"/>
              <w:rPr>
                <w:sz w:val="20"/>
              </w:rPr>
            </w:pPr>
            <w:r>
              <w:rPr>
                <w:sz w:val="20"/>
              </w:rPr>
              <w:t>…</w:t>
            </w:r>
          </w:p>
        </w:tc>
      </w:tr>
    </w:tbl>
    <w:p w14:paraId="5462891D" w14:textId="21D089BA" w:rsidR="00364EE4" w:rsidRDefault="005E02DC" w:rsidP="005E02DC">
      <w:pPr>
        <w:pStyle w:val="B-Body"/>
        <w:spacing w:line="276" w:lineRule="auto"/>
        <w:ind w:left="0"/>
        <w:jc w:val="both"/>
        <w:rPr>
          <w:sz w:val="20"/>
        </w:rPr>
      </w:pPr>
      <w:r>
        <w:rPr>
          <w:sz w:val="20"/>
        </w:rPr>
        <w:t>That is, it was mandatory to report because there was no separate network configuration</w:t>
      </w:r>
      <w:r w:rsidR="00297DCC">
        <w:rPr>
          <w:sz w:val="20"/>
        </w:rPr>
        <w:t xml:space="preserve"> for the content of the measurement report</w:t>
      </w:r>
      <w:r>
        <w:rPr>
          <w:sz w:val="20"/>
        </w:rPr>
        <w:t xml:space="preserve">. However, unlike LTE, RAN2#121 agreed to make </w:t>
      </w:r>
      <w:r w:rsidR="00297DCC">
        <w:rPr>
          <w:sz w:val="20"/>
        </w:rPr>
        <w:t>content of the report</w:t>
      </w:r>
      <w:r>
        <w:rPr>
          <w:sz w:val="20"/>
        </w:rPr>
        <w:t xml:space="preserve"> when H1/H2 triggers for NR to be configurable by the network. </w:t>
      </w:r>
    </w:p>
    <w:p w14:paraId="663746E7" w14:textId="44DCA085" w:rsidR="00364EE4" w:rsidRDefault="00364EE4" w:rsidP="00364EE4">
      <w:pPr>
        <w:pStyle w:val="Observation"/>
      </w:pPr>
      <w:bookmarkStart w:id="86" w:name="_Toc131668785"/>
      <w:bookmarkStart w:id="87" w:name="_Toc131717540"/>
      <w:bookmarkStart w:id="88" w:name="_Toc134605770"/>
      <w:bookmarkStart w:id="89" w:name="_Toc134605782"/>
      <w:bookmarkStart w:id="90" w:name="_Toc134734426"/>
      <w:bookmarkStart w:id="91" w:name="_Toc134734943"/>
      <w:bookmarkStart w:id="92" w:name="_Toc134738193"/>
      <w:r>
        <w:t xml:space="preserve">In LTE UAV, there is no configuration on whether to report UE height upon H1/H2 trigger; </w:t>
      </w:r>
      <w:r w:rsidR="00A6301E">
        <w:t>however,</w:t>
      </w:r>
      <w:r>
        <w:t xml:space="preserve"> for NR, RAN2 has agreed to make the content of the measurement report configurable.</w:t>
      </w:r>
      <w:bookmarkEnd w:id="86"/>
      <w:bookmarkEnd w:id="87"/>
      <w:bookmarkEnd w:id="88"/>
      <w:bookmarkEnd w:id="89"/>
      <w:bookmarkEnd w:id="90"/>
      <w:bookmarkEnd w:id="91"/>
      <w:bookmarkEnd w:id="92"/>
    </w:p>
    <w:p w14:paraId="12262F4C" w14:textId="3E260A36" w:rsidR="005E02DC" w:rsidRDefault="005E02DC" w:rsidP="005E02DC">
      <w:pPr>
        <w:pStyle w:val="B-Body"/>
        <w:spacing w:line="276" w:lineRule="auto"/>
        <w:ind w:left="0"/>
        <w:jc w:val="both"/>
        <w:rPr>
          <w:sz w:val="20"/>
        </w:rPr>
      </w:pPr>
      <w:r>
        <w:rPr>
          <w:sz w:val="20"/>
        </w:rPr>
        <w:t xml:space="preserve">Then we do not see a strong need to stick with the LTE principal only for the UE height. </w:t>
      </w:r>
    </w:p>
    <w:p w14:paraId="2052FB28" w14:textId="1F0D1263" w:rsidR="003659C5" w:rsidRDefault="003659C5" w:rsidP="003659C5">
      <w:pPr>
        <w:pStyle w:val="Proposal"/>
        <w:spacing w:line="276" w:lineRule="auto"/>
        <w:ind w:left="0" w:firstLine="0"/>
      </w:pPr>
      <w:bookmarkStart w:id="93" w:name="_Toc131668789"/>
      <w:bookmarkStart w:id="94" w:name="_Toc131717544"/>
      <w:bookmarkStart w:id="95" w:name="_Toc134605776"/>
      <w:bookmarkStart w:id="96" w:name="_Toc134734419"/>
      <w:bookmarkStart w:id="97" w:name="_Toc134734950"/>
      <w:bookmarkStart w:id="98" w:name="_Toc134738200"/>
      <w:r>
        <w:t>Whether UE height is included when event H1 or H2 triggers is also configurable by the network.</w:t>
      </w:r>
      <w:bookmarkEnd w:id="93"/>
      <w:bookmarkEnd w:id="94"/>
      <w:bookmarkEnd w:id="95"/>
      <w:bookmarkEnd w:id="96"/>
      <w:bookmarkEnd w:id="97"/>
      <w:bookmarkEnd w:id="98"/>
    </w:p>
    <w:bookmarkEnd w:id="85"/>
    <w:p w14:paraId="7C9855BD" w14:textId="2A71F790" w:rsidR="001363FD" w:rsidRPr="001363FD" w:rsidRDefault="0005708F" w:rsidP="00A17AAF">
      <w:pPr>
        <w:pStyle w:val="Heading3"/>
      </w:pPr>
      <w:r>
        <w:t xml:space="preserve">Parameter/IE used for </w:t>
      </w:r>
      <w:r w:rsidR="001363FD">
        <w:t xml:space="preserve">UE </w:t>
      </w:r>
      <w:r w:rsidR="001363FD" w:rsidRPr="001363FD">
        <w:t>height</w:t>
      </w:r>
      <w:r>
        <w:t xml:space="preserve"> </w:t>
      </w:r>
      <w:proofErr w:type="gramStart"/>
      <w:r>
        <w:t>reporting</w:t>
      </w:r>
      <w:proofErr w:type="gramEnd"/>
    </w:p>
    <w:p w14:paraId="6DD849FA" w14:textId="3FF6D367" w:rsidR="001363FD" w:rsidRDefault="00004E87" w:rsidP="001363FD">
      <w:pPr>
        <w:pStyle w:val="B-Body"/>
        <w:spacing w:line="276" w:lineRule="auto"/>
        <w:ind w:left="0"/>
        <w:jc w:val="both"/>
        <w:rPr>
          <w:sz w:val="20"/>
        </w:rPr>
      </w:pPr>
      <w:r>
        <w:rPr>
          <w:sz w:val="20"/>
        </w:rPr>
        <w:t>As shown in previous section, i</w:t>
      </w:r>
      <w:r w:rsidR="001363FD">
        <w:rPr>
          <w:sz w:val="20"/>
        </w:rPr>
        <w:t>n LTE (Rel-15), the UE report</w:t>
      </w:r>
      <w:r>
        <w:rPr>
          <w:sz w:val="20"/>
        </w:rPr>
        <w:t>s</w:t>
      </w:r>
      <w:r w:rsidR="001363FD">
        <w:rPr>
          <w:sz w:val="20"/>
        </w:rPr>
        <w:t xml:space="preserve"> height based on a RRC field </w:t>
      </w:r>
      <w:proofErr w:type="spellStart"/>
      <w:r w:rsidR="001363FD" w:rsidRPr="00FE5DA4">
        <w:rPr>
          <w:i/>
          <w:iCs/>
          <w:sz w:val="20"/>
        </w:rPr>
        <w:t>heightUE</w:t>
      </w:r>
      <w:proofErr w:type="spellEnd"/>
      <w:r w:rsidR="001363FD">
        <w:rPr>
          <w:sz w:val="20"/>
        </w:rPr>
        <w:t xml:space="preserve"> which the UE includes along with other measurement reports when </w:t>
      </w:r>
      <w:r w:rsidR="001363FD" w:rsidRPr="0067313E">
        <w:rPr>
          <w:i/>
          <w:iCs/>
          <w:sz w:val="20"/>
        </w:rPr>
        <w:t>eventH1</w:t>
      </w:r>
      <w:r w:rsidR="001363FD">
        <w:rPr>
          <w:sz w:val="20"/>
        </w:rPr>
        <w:t xml:space="preserve"> or </w:t>
      </w:r>
      <w:r w:rsidR="001363FD" w:rsidRPr="0067313E">
        <w:rPr>
          <w:i/>
          <w:iCs/>
          <w:sz w:val="20"/>
        </w:rPr>
        <w:t>eventH2</w:t>
      </w:r>
      <w:r w:rsidR="001363FD">
        <w:rPr>
          <w:sz w:val="20"/>
        </w:rPr>
        <w:t xml:space="preserve"> is configured and triggered.</w:t>
      </w:r>
    </w:p>
    <w:p w14:paraId="4A85B16A" w14:textId="45540D86" w:rsidR="001363FD" w:rsidRDefault="001363FD" w:rsidP="001363FD">
      <w:pPr>
        <w:pStyle w:val="B-Body"/>
        <w:spacing w:line="276" w:lineRule="auto"/>
        <w:ind w:left="0"/>
        <w:jc w:val="both"/>
        <w:rPr>
          <w:sz w:val="20"/>
        </w:rPr>
      </w:pPr>
      <w:r>
        <w:rPr>
          <w:sz w:val="20"/>
        </w:rPr>
        <w:t>Later</w:t>
      </w:r>
      <w:r w:rsidR="00004E87">
        <w:rPr>
          <w:sz w:val="20"/>
        </w:rPr>
        <w:t>, in Rel-17</w:t>
      </w:r>
      <w:r>
        <w:rPr>
          <w:sz w:val="20"/>
        </w:rPr>
        <w:t>, ability for the UE to report uncompensated barometric pressure was also added for LTE</w:t>
      </w:r>
      <w:r w:rsidR="0067313E">
        <w:rPr>
          <w:sz w:val="20"/>
        </w:rPr>
        <w:t xml:space="preserve"> as TEI17</w:t>
      </w:r>
      <w:r>
        <w:rPr>
          <w:sz w:val="20"/>
        </w:rPr>
        <w:t xml:space="preserve">, which already existed for NR. </w:t>
      </w:r>
    </w:p>
    <w:p w14:paraId="05F40993" w14:textId="4497A86B" w:rsidR="001363FD" w:rsidRDefault="001363FD" w:rsidP="001363FD">
      <w:pPr>
        <w:pStyle w:val="Observation"/>
      </w:pPr>
      <w:bookmarkStart w:id="99" w:name="_Toc110516157"/>
      <w:bookmarkStart w:id="100" w:name="_Toc110532036"/>
      <w:bookmarkStart w:id="101" w:name="_Toc110532541"/>
      <w:bookmarkStart w:id="102" w:name="_Toc110954668"/>
      <w:bookmarkStart w:id="103" w:name="_Toc110970724"/>
      <w:bookmarkStart w:id="104" w:name="_Toc110972909"/>
      <w:bookmarkStart w:id="105" w:name="_Toc115276561"/>
      <w:bookmarkStart w:id="106" w:name="_Toc115276580"/>
      <w:bookmarkStart w:id="107" w:name="_Toc115276728"/>
      <w:bookmarkStart w:id="108" w:name="_Toc115338451"/>
      <w:bookmarkStart w:id="109" w:name="_Toc115376649"/>
      <w:bookmarkStart w:id="110" w:name="_Toc115376831"/>
      <w:bookmarkStart w:id="111" w:name="_Toc118304729"/>
      <w:bookmarkStart w:id="112" w:name="_Toc118304774"/>
      <w:bookmarkStart w:id="113" w:name="_Toc118316911"/>
      <w:bookmarkStart w:id="114" w:name="_Toc118317301"/>
      <w:bookmarkStart w:id="115" w:name="_Toc118384895"/>
      <w:bookmarkStart w:id="116" w:name="_Toc118385280"/>
      <w:bookmarkStart w:id="117" w:name="_Toc131668786"/>
      <w:bookmarkStart w:id="118" w:name="_Toc131717541"/>
      <w:bookmarkStart w:id="119" w:name="_Toc134605771"/>
      <w:bookmarkStart w:id="120" w:name="_Toc134605783"/>
      <w:bookmarkStart w:id="121" w:name="_Toc134734427"/>
      <w:bookmarkStart w:id="122" w:name="_Toc134734944"/>
      <w:bookmarkStart w:id="123" w:name="_Toc134738194"/>
      <w:r>
        <w:t xml:space="preserve">Uncompensated barometric pressure reporting mechanism exists in NR. LTE-like height reporting (using </w:t>
      </w:r>
      <w:proofErr w:type="spellStart"/>
      <w:r w:rsidRPr="00511D6C">
        <w:rPr>
          <w:i/>
          <w:iCs/>
        </w:rPr>
        <w:t>heightUE</w:t>
      </w:r>
      <w:proofErr w:type="spellEnd"/>
      <w:r>
        <w:t>) does not exist for NR.</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924E971" w14:textId="5B7A5DB5" w:rsidR="00004E87" w:rsidRPr="00004E87" w:rsidRDefault="00004E87" w:rsidP="00004E87">
      <w:r>
        <w:t>So, it is reasonable to have a unified approach and use the framework of barometric pressure measurement reporting for UE height, instead of adding yet another method to NR.</w:t>
      </w:r>
    </w:p>
    <w:p w14:paraId="7E200C9D" w14:textId="11EFEF2E" w:rsidR="001363FD" w:rsidRDefault="001363FD" w:rsidP="001363FD">
      <w:pPr>
        <w:pStyle w:val="Proposal"/>
        <w:spacing w:line="276" w:lineRule="auto"/>
        <w:ind w:left="0" w:firstLine="0"/>
      </w:pPr>
      <w:bookmarkStart w:id="124" w:name="_Toc110516161"/>
      <w:bookmarkStart w:id="125" w:name="_Toc110532041"/>
      <w:bookmarkStart w:id="126" w:name="_Toc110532549"/>
      <w:bookmarkStart w:id="127" w:name="_Toc110954674"/>
      <w:bookmarkStart w:id="128" w:name="_Toc110970730"/>
      <w:bookmarkStart w:id="129" w:name="_Toc110972916"/>
      <w:bookmarkStart w:id="130" w:name="_Toc115276632"/>
      <w:bookmarkStart w:id="131" w:name="_Toc115276735"/>
      <w:bookmarkStart w:id="132" w:name="_Toc115338441"/>
      <w:bookmarkStart w:id="133" w:name="_Toc115376660"/>
      <w:bookmarkStart w:id="134" w:name="_Toc118304812"/>
      <w:bookmarkStart w:id="135" w:name="_Toc118316920"/>
      <w:bookmarkStart w:id="136" w:name="_Toc118317310"/>
      <w:bookmarkStart w:id="137" w:name="_Toc118384904"/>
      <w:bookmarkStart w:id="138" w:name="_Toc118385289"/>
      <w:bookmarkStart w:id="139" w:name="_Toc131668790"/>
      <w:bookmarkStart w:id="140" w:name="_Toc131717545"/>
      <w:bookmarkStart w:id="141" w:name="_Toc134605777"/>
      <w:bookmarkStart w:id="142" w:name="_Toc134734420"/>
      <w:bookmarkStart w:id="143" w:name="_Toc134734951"/>
      <w:bookmarkStart w:id="144" w:name="_Toc134738201"/>
      <w:r>
        <w:t>H1/H2 triggered UE height reporting using uncompensated barometric pressure measurement is supported. (Height reporting using an RRC field as in LTE is not introduced.)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t xml:space="preserve">  </w:t>
      </w:r>
    </w:p>
    <w:p w14:paraId="3CB781E4" w14:textId="77777777" w:rsidR="007D0AD4" w:rsidRDefault="007D0AD4" w:rsidP="007D0AD4">
      <w:pPr>
        <w:pStyle w:val="Proposal"/>
        <w:numPr>
          <w:ilvl w:val="0"/>
          <w:numId w:val="0"/>
        </w:numPr>
        <w:spacing w:line="276" w:lineRule="auto"/>
      </w:pPr>
    </w:p>
    <w:p w14:paraId="30DF1FA8" w14:textId="77777777" w:rsidR="00E95744" w:rsidRPr="004A20F7" w:rsidRDefault="00E95744" w:rsidP="00E95744">
      <w:pPr>
        <w:pStyle w:val="Heading1"/>
        <w:spacing w:line="276" w:lineRule="auto"/>
      </w:pPr>
      <w:r w:rsidRPr="004A20F7">
        <w:t>New m</w:t>
      </w:r>
      <w:r w:rsidRPr="00281C99">
        <w:t xml:space="preserve">easurement reporting </w:t>
      </w:r>
      <w:r>
        <w:t>trigger for interference control</w:t>
      </w:r>
    </w:p>
    <w:p w14:paraId="7ACE4B5E" w14:textId="77777777" w:rsidR="00E95744" w:rsidRDefault="00E95744" w:rsidP="00E95744">
      <w:pPr>
        <w:pStyle w:val="B-Body"/>
        <w:spacing w:line="276" w:lineRule="auto"/>
        <w:ind w:left="0"/>
        <w:jc w:val="both"/>
        <w:rPr>
          <w:sz w:val="20"/>
        </w:rPr>
      </w:pPr>
      <w:r w:rsidRPr="00281C99">
        <w:rPr>
          <w:sz w:val="20"/>
        </w:rPr>
        <w:t xml:space="preserve">As noted in </w:t>
      </w:r>
      <w:r>
        <w:rPr>
          <w:sz w:val="20"/>
        </w:rPr>
        <w:t xml:space="preserve">the </w:t>
      </w:r>
      <w:r w:rsidRPr="00281C99">
        <w:rPr>
          <w:sz w:val="20"/>
        </w:rPr>
        <w:t xml:space="preserve">WID [1], </w:t>
      </w:r>
      <w:r>
        <w:rPr>
          <w:sz w:val="20"/>
        </w:rPr>
        <w:t>one of the objectives is the following:</w:t>
      </w:r>
    </w:p>
    <w:tbl>
      <w:tblPr>
        <w:tblStyle w:val="TableGrid"/>
        <w:tblW w:w="0" w:type="auto"/>
        <w:tblLook w:val="04A0" w:firstRow="1" w:lastRow="0" w:firstColumn="1" w:lastColumn="0" w:noHBand="0" w:noVBand="1"/>
      </w:tblPr>
      <w:tblGrid>
        <w:gridCol w:w="9350"/>
      </w:tblGrid>
      <w:tr w:rsidR="00E95744" w14:paraId="7EB3E8C0" w14:textId="77777777" w:rsidTr="00E653BC">
        <w:tc>
          <w:tcPr>
            <w:tcW w:w="9350" w:type="dxa"/>
          </w:tcPr>
          <w:p w14:paraId="572E3F19" w14:textId="77777777" w:rsidR="00E95744" w:rsidRPr="00782F71" w:rsidRDefault="00E95744" w:rsidP="00E653BC">
            <w:pPr>
              <w:rPr>
                <w:iCs/>
                <w:lang w:val="en-US"/>
              </w:rPr>
            </w:pPr>
            <w:r w:rsidRPr="00782F71">
              <w:rPr>
                <w:iCs/>
                <w:lang w:val="en-US"/>
              </w:rPr>
              <w:t>4. Study UE capability signaling to indicate UAV beamforming capabilities and, if necessary, RRC signaling [RAN1, RAN2]:</w:t>
            </w:r>
            <w:r w:rsidRPr="00782F71" w:rsidDel="00D41AD8">
              <w:rPr>
                <w:iCs/>
                <w:lang w:val="en-US"/>
              </w:rPr>
              <w:t xml:space="preserve"> </w:t>
            </w:r>
          </w:p>
          <w:p w14:paraId="243775EE" w14:textId="77777777" w:rsidR="00E95744" w:rsidRPr="00281C99" w:rsidRDefault="00E95744" w:rsidP="00795096">
            <w:pPr>
              <w:numPr>
                <w:ilvl w:val="0"/>
                <w:numId w:val="6"/>
              </w:numPr>
              <w:rPr>
                <w:iCs/>
                <w:lang w:val="en-US"/>
              </w:rPr>
            </w:pPr>
            <w:r w:rsidRPr="00782F71">
              <w:rPr>
                <w:rStyle w:val="Emphasis"/>
                <w:i w:val="0"/>
                <w:lang w:val="en-US"/>
              </w:rPr>
              <w:t>FR1 with directional antenna at UE side</w:t>
            </w:r>
          </w:p>
        </w:tc>
      </w:tr>
    </w:tbl>
    <w:p w14:paraId="56F4FDEB" w14:textId="77777777" w:rsidR="00E95744" w:rsidRDefault="00E95744" w:rsidP="00E95744">
      <w:pPr>
        <w:pStyle w:val="B-Body"/>
        <w:spacing w:line="276" w:lineRule="auto"/>
        <w:ind w:left="0"/>
        <w:jc w:val="both"/>
        <w:rPr>
          <w:sz w:val="20"/>
        </w:rPr>
      </w:pPr>
      <w:r>
        <w:rPr>
          <w:sz w:val="20"/>
        </w:rPr>
        <w:t xml:space="preserve">So, potentially UAV UEs can have </w:t>
      </w:r>
      <w:r w:rsidRPr="00281C99">
        <w:rPr>
          <w:sz w:val="20"/>
        </w:rPr>
        <w:t>beamforming capabilities</w:t>
      </w:r>
      <w:r>
        <w:rPr>
          <w:sz w:val="20"/>
        </w:rPr>
        <w:t xml:space="preserve"> and the UE may be able to change its antenna configuration from, </w:t>
      </w:r>
      <w:proofErr w:type="gramStart"/>
      <w:r>
        <w:rPr>
          <w:sz w:val="20"/>
        </w:rPr>
        <w:t>e.g.</w:t>
      </w:r>
      <w:proofErr w:type="gramEnd"/>
      <w:r>
        <w:rPr>
          <w:sz w:val="20"/>
        </w:rPr>
        <w:t xml:space="preserve"> omni to directional, etc. This is being discussed in RAN1.</w:t>
      </w:r>
    </w:p>
    <w:p w14:paraId="0FBDF711" w14:textId="77777777" w:rsidR="00E95744" w:rsidRDefault="00E95744" w:rsidP="00E95744">
      <w:pPr>
        <w:pStyle w:val="B-Body"/>
        <w:spacing w:line="276" w:lineRule="auto"/>
        <w:ind w:left="0"/>
        <w:jc w:val="both"/>
        <w:rPr>
          <w:sz w:val="20"/>
        </w:rPr>
      </w:pPr>
      <w:r>
        <w:rPr>
          <w:sz w:val="20"/>
        </w:rPr>
        <w:t>RAN2#119e already agreed to adopt the height triggers H1/H2 to NR. However, a</w:t>
      </w:r>
      <w:r w:rsidRPr="00281C99">
        <w:rPr>
          <w:sz w:val="20"/>
        </w:rPr>
        <w:t xml:space="preserve">s illustrated in Figure </w:t>
      </w:r>
      <w:r>
        <w:rPr>
          <w:sz w:val="20"/>
        </w:rPr>
        <w:t>below</w:t>
      </w:r>
      <w:r w:rsidRPr="00281C99">
        <w:rPr>
          <w:sz w:val="20"/>
        </w:rPr>
        <w:t xml:space="preserve">, Aerial UE A may fly from low to high and cross the height threshold, which will trigger Event H1 and Aerial UE B may fly from high to low and cross the height threshold, which will trigger Event H2 to report the location/height. </w:t>
      </w:r>
      <w:r>
        <w:rPr>
          <w:sz w:val="20"/>
        </w:rPr>
        <w:t>On the other hand, f</w:t>
      </w:r>
      <w:r w:rsidRPr="00281C99">
        <w:rPr>
          <w:sz w:val="20"/>
        </w:rPr>
        <w:t>or Aerial UE C wh</w:t>
      </w:r>
      <w:r>
        <w:rPr>
          <w:sz w:val="20"/>
        </w:rPr>
        <w:t>ich</w:t>
      </w:r>
      <w:r w:rsidRPr="00281C99">
        <w:rPr>
          <w:sz w:val="20"/>
        </w:rPr>
        <w:t xml:space="preserve"> fl</w:t>
      </w:r>
      <w:r>
        <w:rPr>
          <w:sz w:val="20"/>
        </w:rPr>
        <w:t>ies horizontally</w:t>
      </w:r>
      <w:r w:rsidRPr="00281C99">
        <w:rPr>
          <w:sz w:val="20"/>
        </w:rPr>
        <w:t xml:space="preserve"> with no</w:t>
      </w:r>
      <w:r>
        <w:rPr>
          <w:sz w:val="20"/>
        </w:rPr>
        <w:t xml:space="preserve"> significant change in</w:t>
      </w:r>
      <w:r w:rsidRPr="00281C99">
        <w:rPr>
          <w:sz w:val="20"/>
        </w:rPr>
        <w:t xml:space="preserve"> height, no Event H1/H2 is triggered. </w:t>
      </w:r>
    </w:p>
    <w:p w14:paraId="05BC00B9" w14:textId="77777777" w:rsidR="00E95744" w:rsidRDefault="00E95744" w:rsidP="00E95744">
      <w:pPr>
        <w:pStyle w:val="B-Body"/>
        <w:spacing w:line="276" w:lineRule="auto"/>
        <w:ind w:left="0"/>
        <w:jc w:val="both"/>
        <w:rPr>
          <w:sz w:val="20"/>
        </w:rPr>
      </w:pPr>
      <w:r w:rsidRPr="00281C99">
        <w:rPr>
          <w:sz w:val="20"/>
        </w:rPr>
        <w:t xml:space="preserve">However, if the aerial UE </w:t>
      </w:r>
      <w:r>
        <w:rPr>
          <w:sz w:val="20"/>
        </w:rPr>
        <w:t xml:space="preserve">C </w:t>
      </w:r>
      <w:r w:rsidRPr="00281C99">
        <w:rPr>
          <w:sz w:val="20"/>
        </w:rPr>
        <w:t>change</w:t>
      </w:r>
      <w:r>
        <w:rPr>
          <w:sz w:val="20"/>
        </w:rPr>
        <w:t>s</w:t>
      </w:r>
      <w:r w:rsidRPr="00281C99">
        <w:rPr>
          <w:sz w:val="20"/>
        </w:rPr>
        <w:t xml:space="preserve"> the antenna configurations, e.g., switch from omni to directional antenna, it may result in significant interference variation. If </w:t>
      </w:r>
      <w:proofErr w:type="spellStart"/>
      <w:r w:rsidRPr="00281C99">
        <w:rPr>
          <w:sz w:val="20"/>
        </w:rPr>
        <w:t>gNB</w:t>
      </w:r>
      <w:proofErr w:type="spellEnd"/>
      <w:r w:rsidRPr="00281C99">
        <w:rPr>
          <w:sz w:val="20"/>
        </w:rPr>
        <w:t xml:space="preserve"> knows UE current location</w:t>
      </w:r>
      <w:r>
        <w:rPr>
          <w:sz w:val="20"/>
        </w:rPr>
        <w:t>/speed</w:t>
      </w:r>
      <w:r w:rsidRPr="00281C99">
        <w:rPr>
          <w:sz w:val="20"/>
        </w:rPr>
        <w:t>/antenna configuration</w:t>
      </w:r>
      <w:r>
        <w:rPr>
          <w:sz w:val="20"/>
        </w:rPr>
        <w:t xml:space="preserve"> when the antenna configuration changes</w:t>
      </w:r>
      <w:r w:rsidRPr="00281C99">
        <w:rPr>
          <w:sz w:val="20"/>
        </w:rPr>
        <w:t xml:space="preserve">, </w:t>
      </w:r>
      <w:proofErr w:type="spellStart"/>
      <w:r w:rsidRPr="00281C99">
        <w:rPr>
          <w:sz w:val="20"/>
        </w:rPr>
        <w:t>gNB</w:t>
      </w:r>
      <w:proofErr w:type="spellEnd"/>
      <w:r w:rsidRPr="00281C99">
        <w:rPr>
          <w:sz w:val="20"/>
        </w:rPr>
        <w:t xml:space="preserve"> can apply further beam management to the UE. </w:t>
      </w:r>
    </w:p>
    <w:p w14:paraId="18747FDE" w14:textId="77777777" w:rsidR="00E95744" w:rsidRDefault="00E95744" w:rsidP="00E95744">
      <w:pPr>
        <w:pStyle w:val="Observation"/>
      </w:pPr>
      <w:bookmarkStart w:id="145" w:name="_Toc115276560"/>
      <w:bookmarkStart w:id="146" w:name="_Toc115276579"/>
      <w:bookmarkStart w:id="147" w:name="_Toc115276733"/>
      <w:bookmarkStart w:id="148" w:name="_Toc115338456"/>
      <w:bookmarkStart w:id="149" w:name="_Toc115376654"/>
      <w:bookmarkStart w:id="150" w:name="_Toc115376836"/>
      <w:bookmarkStart w:id="151" w:name="_Toc118304721"/>
      <w:bookmarkStart w:id="152" w:name="_Toc118304769"/>
      <w:bookmarkStart w:id="153" w:name="_Toc118316907"/>
      <w:bookmarkStart w:id="154" w:name="_Toc118317297"/>
      <w:bookmarkStart w:id="155" w:name="_Toc118384891"/>
      <w:bookmarkStart w:id="156" w:name="_Toc118385276"/>
      <w:bookmarkStart w:id="157" w:name="_Toc131668787"/>
      <w:bookmarkStart w:id="158" w:name="_Toc131717542"/>
      <w:bookmarkStart w:id="159" w:name="_Toc134605772"/>
      <w:bookmarkStart w:id="160" w:name="_Toc134605784"/>
      <w:bookmarkStart w:id="161" w:name="_Toc134734428"/>
      <w:bookmarkStart w:id="162" w:name="_Toc134734945"/>
      <w:bookmarkStart w:id="163" w:name="_Toc134738195"/>
      <w:r>
        <w:t>F</w:t>
      </w:r>
      <w:r w:rsidRPr="00281C99">
        <w:t>or aerial UEs capable of different antenna configurations, the antenna configuration change may result in significant inter-cell interference variation.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85A2623" w14:textId="77777777" w:rsidR="00E95744" w:rsidRDefault="00E95744" w:rsidP="00E95744">
      <w:pPr>
        <w:pStyle w:val="B-Body"/>
        <w:keepNext/>
        <w:spacing w:line="276" w:lineRule="auto"/>
        <w:ind w:left="0"/>
        <w:jc w:val="center"/>
      </w:pPr>
      <w:r w:rsidRPr="00281C99">
        <w:rPr>
          <w:noProof/>
          <w:sz w:val="20"/>
        </w:rPr>
        <w:drawing>
          <wp:inline distT="0" distB="0" distL="0" distR="0" wp14:anchorId="272AFCE1" wp14:editId="37340514">
            <wp:extent cx="3099684" cy="204022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7761" cy="2045539"/>
                    </a:xfrm>
                    <a:prstGeom prst="rect">
                      <a:avLst/>
                    </a:prstGeom>
                    <a:noFill/>
                    <a:ln>
                      <a:noFill/>
                    </a:ln>
                  </pic:spPr>
                </pic:pic>
              </a:graphicData>
            </a:graphic>
          </wp:inline>
        </w:drawing>
      </w:r>
    </w:p>
    <w:p w14:paraId="4575F949" w14:textId="77777777" w:rsidR="00E95744" w:rsidRPr="00281C99" w:rsidRDefault="00E95744" w:rsidP="00E95744">
      <w:pPr>
        <w:pStyle w:val="Caption"/>
        <w:rPr>
          <w:rFonts w:eastAsia="SimSun"/>
        </w:rPr>
      </w:pPr>
      <w:r>
        <w:t xml:space="preserve">Figure </w:t>
      </w:r>
      <w:r>
        <w:fldChar w:fldCharType="begin"/>
      </w:r>
      <w:r>
        <w:instrText xml:space="preserve"> SEQ Figure \* ARABIC </w:instrText>
      </w:r>
      <w:r>
        <w:fldChar w:fldCharType="separate"/>
      </w:r>
      <w:r>
        <w:rPr>
          <w:noProof/>
        </w:rPr>
        <w:t>1</w:t>
      </w:r>
      <w:r>
        <w:fldChar w:fldCharType="end"/>
      </w:r>
      <w:r>
        <w:t xml:space="preserve"> For UE C, H1/H2 is not triggered even though interference </w:t>
      </w:r>
      <w:proofErr w:type="gramStart"/>
      <w:r>
        <w:t>changes</w:t>
      </w:r>
      <w:proofErr w:type="gramEnd"/>
    </w:p>
    <w:p w14:paraId="59E946ED" w14:textId="77777777" w:rsidR="00E95744" w:rsidRPr="00281C99" w:rsidRDefault="00E95744" w:rsidP="00E95744">
      <w:pPr>
        <w:pStyle w:val="B-Body"/>
        <w:spacing w:line="276" w:lineRule="auto"/>
        <w:ind w:left="0"/>
        <w:jc w:val="both"/>
        <w:rPr>
          <w:sz w:val="20"/>
        </w:rPr>
      </w:pPr>
    </w:p>
    <w:p w14:paraId="6552D108" w14:textId="77777777" w:rsidR="00E95744" w:rsidRPr="00A92A5C" w:rsidRDefault="00E95744" w:rsidP="00E95744">
      <w:pPr>
        <w:pStyle w:val="B-Body"/>
        <w:spacing w:line="276" w:lineRule="auto"/>
        <w:ind w:left="0"/>
        <w:jc w:val="both"/>
        <w:rPr>
          <w:sz w:val="20"/>
        </w:rPr>
      </w:pPr>
      <w:r>
        <w:rPr>
          <w:sz w:val="20"/>
        </w:rPr>
        <w:t>Therefore, f</w:t>
      </w:r>
      <w:r w:rsidRPr="00281C99">
        <w:rPr>
          <w:sz w:val="20"/>
        </w:rPr>
        <w:t>or aerial UEs capable of different antenna configurations</w:t>
      </w:r>
      <w:r>
        <w:rPr>
          <w:sz w:val="20"/>
        </w:rPr>
        <w:t xml:space="preserve">, </w:t>
      </w:r>
      <w:r w:rsidRPr="00281C99">
        <w:rPr>
          <w:sz w:val="20"/>
        </w:rPr>
        <w:t>measurement reporting</w:t>
      </w:r>
      <w:r>
        <w:rPr>
          <w:sz w:val="20"/>
        </w:rPr>
        <w:t xml:space="preserve"> can be enhanced to</w:t>
      </w:r>
      <w:r w:rsidRPr="00281C99">
        <w:rPr>
          <w:sz w:val="20"/>
        </w:rPr>
        <w:t xml:space="preserve"> </w:t>
      </w:r>
      <w:r>
        <w:rPr>
          <w:sz w:val="20"/>
        </w:rPr>
        <w:t>include</w:t>
      </w:r>
      <w:r w:rsidRPr="00281C99">
        <w:rPr>
          <w:sz w:val="20"/>
        </w:rPr>
        <w:t xml:space="preserve"> the trigger/reporting of </w:t>
      </w:r>
      <w:r>
        <w:rPr>
          <w:sz w:val="20"/>
        </w:rPr>
        <w:t xml:space="preserve">UE’s location and antenna/beam configuration when </w:t>
      </w:r>
      <w:r w:rsidRPr="00281C99">
        <w:rPr>
          <w:sz w:val="20"/>
        </w:rPr>
        <w:t>antenna</w:t>
      </w:r>
      <w:r>
        <w:rPr>
          <w:sz w:val="20"/>
        </w:rPr>
        <w:t>/beam</w:t>
      </w:r>
      <w:r w:rsidRPr="00281C99">
        <w:rPr>
          <w:sz w:val="20"/>
        </w:rPr>
        <w:t xml:space="preserve"> configuration change</w:t>
      </w:r>
      <w:r>
        <w:rPr>
          <w:sz w:val="20"/>
        </w:rPr>
        <w:t>s.</w:t>
      </w:r>
      <w:r w:rsidRPr="00281C99">
        <w:rPr>
          <w:sz w:val="20"/>
        </w:rPr>
        <w:t xml:space="preserve"> </w:t>
      </w:r>
      <w:r w:rsidRPr="00A92A5C">
        <w:rPr>
          <w:sz w:val="20"/>
        </w:rPr>
        <w:t>Details can be further discussed once RAN2 agrees on the principle.</w:t>
      </w:r>
    </w:p>
    <w:p w14:paraId="3529FF11" w14:textId="6411967F" w:rsidR="00E95744" w:rsidRDefault="00E95744" w:rsidP="00E95744">
      <w:pPr>
        <w:pStyle w:val="Proposal"/>
        <w:spacing w:line="276" w:lineRule="auto"/>
        <w:ind w:left="0" w:firstLine="0"/>
      </w:pPr>
      <w:bookmarkStart w:id="164" w:name="_Toc115276631"/>
      <w:bookmarkStart w:id="165" w:name="_Toc115276740"/>
      <w:bookmarkStart w:id="166" w:name="_Toc115338446"/>
      <w:bookmarkStart w:id="167" w:name="_Toc115376665"/>
      <w:bookmarkStart w:id="168" w:name="_Toc118304804"/>
      <w:bookmarkStart w:id="169" w:name="_Toc118316916"/>
      <w:bookmarkStart w:id="170" w:name="_Toc118317306"/>
      <w:bookmarkStart w:id="171" w:name="_Toc118384900"/>
      <w:bookmarkStart w:id="172" w:name="_Toc118385285"/>
      <w:bookmarkStart w:id="173" w:name="_Toc131668791"/>
      <w:bookmarkStart w:id="174" w:name="_Toc131717546"/>
      <w:bookmarkStart w:id="175" w:name="_Toc134605778"/>
      <w:bookmarkStart w:id="176" w:name="_Toc134734421"/>
      <w:bookmarkStart w:id="177" w:name="_Toc134734952"/>
      <w:bookmarkStart w:id="178" w:name="_Toc134738202"/>
      <w:r>
        <w:t xml:space="preserve">Introduce </w:t>
      </w:r>
      <w:r w:rsidRPr="00845357">
        <w:rPr>
          <w:i/>
          <w:iCs/>
        </w:rPr>
        <w:t>change in antenna/beam configuration</w:t>
      </w:r>
      <w:r>
        <w:t xml:space="preserve"> as an optional trigger for reporting of </w:t>
      </w:r>
      <w:r w:rsidRPr="00462822">
        <w:t xml:space="preserve">UAV </w:t>
      </w:r>
      <w:r>
        <w:t xml:space="preserve">location, speed and/or </w:t>
      </w:r>
      <w:r w:rsidRPr="00462822">
        <w:t>antenna</w:t>
      </w:r>
      <w:r>
        <w:t>/beam configuration</w:t>
      </w:r>
      <w:r w:rsidRPr="00462822">
        <w:t>.</w:t>
      </w:r>
      <w:r>
        <w:t xml:space="preserve"> Details FFS.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1C77C3A" w14:textId="77777777" w:rsidR="005D5660" w:rsidRDefault="005D5660" w:rsidP="005D5660">
      <w:pPr>
        <w:pStyle w:val="Proposal"/>
        <w:numPr>
          <w:ilvl w:val="0"/>
          <w:numId w:val="0"/>
        </w:numPr>
        <w:spacing w:line="276" w:lineRule="auto"/>
      </w:pPr>
    </w:p>
    <w:p w14:paraId="2FD477AC" w14:textId="2B6D072D" w:rsidR="003015CD" w:rsidRDefault="003015CD" w:rsidP="00747CB4">
      <w:pPr>
        <w:pStyle w:val="Heading1"/>
        <w:spacing w:line="276" w:lineRule="auto"/>
      </w:pPr>
      <w:r>
        <w:t>No-</w:t>
      </w:r>
      <w:r w:rsidR="005B33D2">
        <w:t>T</w:t>
      </w:r>
      <w:r>
        <w:t>ransmit zone (NTZ)</w:t>
      </w:r>
    </w:p>
    <w:p w14:paraId="289045EB" w14:textId="0F5744DC" w:rsidR="003015CD" w:rsidRDefault="003015CD" w:rsidP="003015CD">
      <w:r>
        <w:t>RAN2</w:t>
      </w:r>
      <w:r w:rsidR="005B33D2">
        <w:t>#121bis-e</w:t>
      </w:r>
      <w:r>
        <w:t xml:space="preserve"> received and discussed the following LS from ETSI TC MSG/TFES</w:t>
      </w:r>
      <w:r w:rsidR="005B33D2">
        <w:t>:</w:t>
      </w:r>
    </w:p>
    <w:p w14:paraId="79A625CD" w14:textId="214407AC" w:rsidR="003015CD" w:rsidRDefault="00000000" w:rsidP="003015CD">
      <w:hyperlink r:id="rId13" w:history="1">
        <w:r w:rsidR="003015CD">
          <w:rPr>
            <w:rStyle w:val="Hyperlink"/>
          </w:rPr>
          <w:t>R2-2302464</w:t>
        </w:r>
      </w:hyperlink>
      <w:r w:rsidR="003015CD">
        <w:tab/>
        <w:t xml:space="preserve">LS to 3GPP on ECC request for standardisation support related to ECC Decision (22)07 on “harmonised framework on aerial UE usage in MFCN harmonised </w:t>
      </w:r>
      <w:proofErr w:type="gramStart"/>
      <w:r w:rsidR="003015CD">
        <w:t>bands”</w:t>
      </w:r>
      <w:proofErr w:type="gramEnd"/>
    </w:p>
    <w:p w14:paraId="4002BE60" w14:textId="02234C6B" w:rsidR="003015CD" w:rsidRDefault="003015CD" w:rsidP="003015CD">
      <w:r>
        <w:t xml:space="preserve">The referenced </w:t>
      </w:r>
      <w:r w:rsidRPr="00045B3A">
        <w:t xml:space="preserve">ECC decision (22)07 </w:t>
      </w:r>
      <w:r w:rsidRPr="00045B3A">
        <w:rPr>
          <w:rFonts w:cs="Arial"/>
        </w:rPr>
        <w:t xml:space="preserve">on </w:t>
      </w:r>
      <w:r w:rsidRPr="005B33D2">
        <w:rPr>
          <w:rFonts w:cs="Arial"/>
          <w:i/>
          <w:iCs/>
        </w:rPr>
        <w:t>harmonised framework on aerial UE usage in MFCN harmonised bands</w:t>
      </w:r>
      <w:r w:rsidRPr="00045B3A">
        <w:t xml:space="preserve"> </w:t>
      </w:r>
      <w:r>
        <w:t xml:space="preserve">defines </w:t>
      </w:r>
      <w:r w:rsidRPr="005B33D2">
        <w:rPr>
          <w:i/>
          <w:iCs/>
        </w:rPr>
        <w:t>no-transmit zones</w:t>
      </w:r>
      <w:r>
        <w:t xml:space="preserve"> as follows and further mentions the need of such no-transmit zones.</w:t>
      </w:r>
    </w:p>
    <w:tbl>
      <w:tblPr>
        <w:tblStyle w:val="TableGrid"/>
        <w:tblW w:w="0" w:type="auto"/>
        <w:tblLook w:val="04A0" w:firstRow="1" w:lastRow="0" w:firstColumn="1" w:lastColumn="0" w:noHBand="0" w:noVBand="1"/>
      </w:tblPr>
      <w:tblGrid>
        <w:gridCol w:w="9350"/>
      </w:tblGrid>
      <w:tr w:rsidR="003015CD" w14:paraId="1A592238" w14:textId="77777777" w:rsidTr="00795096">
        <w:tc>
          <w:tcPr>
            <w:tcW w:w="9350" w:type="dxa"/>
          </w:tcPr>
          <w:p w14:paraId="456FF6CA" w14:textId="77777777" w:rsidR="003015CD" w:rsidRPr="003015CD" w:rsidRDefault="003015CD" w:rsidP="00795096">
            <w:pPr>
              <w:pStyle w:val="ListParagraph"/>
              <w:numPr>
                <w:ilvl w:val="0"/>
                <w:numId w:val="10"/>
              </w:numPr>
              <w:tabs>
                <w:tab w:val="left" w:pos="567"/>
              </w:tabs>
              <w:overflowPunct/>
              <w:autoSpaceDE/>
              <w:autoSpaceDN/>
              <w:adjustRightInd/>
              <w:spacing w:after="240"/>
              <w:ind w:left="567" w:hanging="567"/>
              <w:jc w:val="both"/>
              <w:textAlignment w:val="auto"/>
            </w:pPr>
            <w:r>
              <w:t xml:space="preserve">that a no-transmit zone in this Decision is defined as a geographical area where aerial UE are not allowed to transmit for spectrum compatibility purposes in a given harmonised MFCN band or part of </w:t>
            </w:r>
            <w:proofErr w:type="gramStart"/>
            <w:r>
              <w:t>it;</w:t>
            </w:r>
            <w:proofErr w:type="gramEnd"/>
          </w:p>
          <w:p w14:paraId="735B89A8" w14:textId="77777777" w:rsidR="003015CD" w:rsidRDefault="003015CD" w:rsidP="00795096">
            <w:pPr>
              <w:pStyle w:val="ListParagraph"/>
              <w:numPr>
                <w:ilvl w:val="0"/>
                <w:numId w:val="10"/>
              </w:numPr>
              <w:tabs>
                <w:tab w:val="left" w:pos="567"/>
              </w:tabs>
              <w:overflowPunct/>
              <w:autoSpaceDE/>
              <w:autoSpaceDN/>
              <w:adjustRightInd/>
              <w:spacing w:after="240"/>
              <w:ind w:left="567" w:hanging="567"/>
              <w:jc w:val="both"/>
              <w:textAlignment w:val="auto"/>
            </w:pPr>
            <w:r>
              <w:t xml:space="preserve">that national studies are needed, as appropriate, to define no-transmit zones for spectrum compatibility purposes, for aerial UE operating in the relevant frequency </w:t>
            </w:r>
            <w:proofErr w:type="gramStart"/>
            <w:r>
              <w:t>bands;</w:t>
            </w:r>
            <w:proofErr w:type="gramEnd"/>
            <w:r>
              <w:t xml:space="preserve"> </w:t>
            </w:r>
          </w:p>
          <w:p w14:paraId="44019507" w14:textId="77777777" w:rsidR="003015CD" w:rsidRDefault="003015CD" w:rsidP="00795096">
            <w:pPr>
              <w:pStyle w:val="ListParagraph"/>
              <w:numPr>
                <w:ilvl w:val="0"/>
                <w:numId w:val="10"/>
              </w:numPr>
              <w:tabs>
                <w:tab w:val="left" w:pos="567"/>
              </w:tabs>
              <w:overflowPunct/>
              <w:autoSpaceDE/>
              <w:autoSpaceDN/>
              <w:adjustRightInd/>
              <w:spacing w:after="240"/>
              <w:ind w:left="567" w:hanging="567"/>
              <w:jc w:val="both"/>
              <w:textAlignment w:val="auto"/>
            </w:pPr>
            <w:r>
              <w:t xml:space="preserve">that a mechanism is necessary to ensure that aerial UE respect no-transmit </w:t>
            </w:r>
            <w:proofErr w:type="gramStart"/>
            <w:r>
              <w:t>zones;</w:t>
            </w:r>
            <w:proofErr w:type="gramEnd"/>
          </w:p>
          <w:p w14:paraId="0DFB667B" w14:textId="43268898" w:rsidR="00795096" w:rsidRPr="00795096" w:rsidRDefault="00795096" w:rsidP="00795096">
            <w:pPr>
              <w:tabs>
                <w:tab w:val="left" w:pos="567"/>
              </w:tabs>
              <w:overflowPunct/>
              <w:autoSpaceDE/>
              <w:autoSpaceDN/>
              <w:adjustRightInd/>
              <w:spacing w:after="240"/>
              <w:jc w:val="both"/>
              <w:textAlignment w:val="auto"/>
            </w:pPr>
            <w:r w:rsidRPr="005B33D2">
              <w:rPr>
                <w:highlight w:val="yellow"/>
              </w:rPr>
              <w:t>&lt;&lt;skip&gt;&gt;</w:t>
            </w:r>
          </w:p>
          <w:p w14:paraId="4B7D209E" w14:textId="27121E99" w:rsidR="00795096" w:rsidRDefault="00795096" w:rsidP="00795096">
            <w:pPr>
              <w:pStyle w:val="NumberedList"/>
              <w:numPr>
                <w:ilvl w:val="0"/>
                <w:numId w:val="12"/>
              </w:numPr>
              <w:spacing w:after="120"/>
            </w:pPr>
            <w:r>
              <w:t>t</w:t>
            </w:r>
            <w:r>
              <w:rPr>
                <w:iCs/>
              </w:rPr>
              <w:t>hat no-transmit zones as described in this Decision should be defined and implemented at national level and where necessary coordinated with neighbouring countries;</w:t>
            </w:r>
          </w:p>
        </w:tc>
      </w:tr>
    </w:tbl>
    <w:p w14:paraId="08BC56B0" w14:textId="13B83D74" w:rsidR="003015CD" w:rsidRDefault="003015CD" w:rsidP="003015CD">
      <w:r w:rsidRPr="00045B3A">
        <w:t xml:space="preserve"> </w:t>
      </w:r>
    </w:p>
    <w:p w14:paraId="1E1A5971" w14:textId="6C20A7C4" w:rsidR="003015CD" w:rsidRDefault="004B5A8F" w:rsidP="003015CD">
      <w:r>
        <w:t>RAN2 need</w:t>
      </w:r>
      <w:r w:rsidR="005B33D2">
        <w:t>s</w:t>
      </w:r>
      <w:r>
        <w:t xml:space="preserve"> to study the impact of this decision and whether to introduce any mechanisms for signalling of such NTZ, whether measurement reports are triggered due to moving in/out of such zones, etc. Since there is no </w:t>
      </w:r>
      <w:r w:rsidR="005B33D2">
        <w:t xml:space="preserve">specific </w:t>
      </w:r>
      <w:r>
        <w:t>objective about this in the current WID, we think RAN2</w:t>
      </w:r>
      <w:r w:rsidR="00D948E9">
        <w:t xml:space="preserve"> should decide whether to study this in current release or</w:t>
      </w:r>
      <w:r>
        <w:t xml:space="preserve"> consider this in future release. </w:t>
      </w:r>
    </w:p>
    <w:p w14:paraId="5B616E1B" w14:textId="62401264" w:rsidR="004B5A8F" w:rsidRDefault="004B5A8F" w:rsidP="004B5A8F">
      <w:pPr>
        <w:pStyle w:val="Observation"/>
      </w:pPr>
      <w:bookmarkStart w:id="179" w:name="_Toc134734429"/>
      <w:bookmarkStart w:id="180" w:name="_Toc134734946"/>
      <w:bookmarkStart w:id="181" w:name="_Toc134738196"/>
      <w:r>
        <w:t xml:space="preserve">ECC decision (22)07 describes the need of no-transmit zones for aerial UEs, however current WI doesn’t have </w:t>
      </w:r>
      <w:r w:rsidR="00AC0978">
        <w:t xml:space="preserve">a </w:t>
      </w:r>
      <w:r>
        <w:t>directly related objective.</w:t>
      </w:r>
      <w:bookmarkEnd w:id="179"/>
      <w:bookmarkEnd w:id="180"/>
      <w:bookmarkEnd w:id="181"/>
    </w:p>
    <w:p w14:paraId="33C7D6B9" w14:textId="2D6F4AD1" w:rsidR="004B5A8F" w:rsidRPr="00045B3A" w:rsidRDefault="004B5A8F" w:rsidP="004B5A8F">
      <w:pPr>
        <w:pStyle w:val="Proposal"/>
        <w:spacing w:line="276" w:lineRule="auto"/>
        <w:ind w:left="0" w:firstLine="0"/>
      </w:pPr>
      <w:bookmarkStart w:id="182" w:name="_Toc134734422"/>
      <w:bookmarkStart w:id="183" w:name="_Toc134734953"/>
      <w:bookmarkStart w:id="184" w:name="_Toc134738203"/>
      <w:r>
        <w:t xml:space="preserve">Discuss whether impact of ECC decision (22)07 regarding no-transmit zones </w:t>
      </w:r>
      <w:r w:rsidR="00C62698">
        <w:t>should</w:t>
      </w:r>
      <w:r>
        <w:t xml:space="preserve"> be studied in Rel-18 or </w:t>
      </w:r>
      <w:r w:rsidR="00C62698">
        <w:t xml:space="preserve">can be </w:t>
      </w:r>
      <w:r>
        <w:t>le</w:t>
      </w:r>
      <w:r w:rsidR="00C62698">
        <w:t>ft</w:t>
      </w:r>
      <w:r>
        <w:t xml:space="preserve"> for Rel-19.</w:t>
      </w:r>
      <w:bookmarkEnd w:id="182"/>
      <w:bookmarkEnd w:id="183"/>
      <w:bookmarkEnd w:id="184"/>
    </w:p>
    <w:p w14:paraId="62AD65D7" w14:textId="77777777" w:rsidR="003015CD" w:rsidRPr="003015CD" w:rsidRDefault="003015CD" w:rsidP="003015CD"/>
    <w:p w14:paraId="6634B4D5" w14:textId="77777777" w:rsidR="003015CD" w:rsidRPr="003015CD" w:rsidRDefault="003015CD" w:rsidP="003015CD"/>
    <w:p w14:paraId="53524841" w14:textId="344756AA" w:rsidR="00F9749E" w:rsidRPr="004721D9" w:rsidRDefault="0076261B" w:rsidP="00747CB4">
      <w:pPr>
        <w:pStyle w:val="Heading1"/>
        <w:spacing w:line="276" w:lineRule="auto"/>
      </w:pPr>
      <w:r>
        <w:t>Summary</w:t>
      </w:r>
    </w:p>
    <w:p w14:paraId="30CFE7AF" w14:textId="10B186A8"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p>
    <w:p w14:paraId="27CE05AB" w14:textId="77777777" w:rsidR="004208E1" w:rsidRDefault="0088117B">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4208E1">
        <w:rPr>
          <w:noProof/>
        </w:rPr>
        <w:t>Observation 1.</w:t>
      </w:r>
      <w:r w:rsidR="004208E1">
        <w:rPr>
          <w:rFonts w:asciiTheme="minorHAnsi" w:eastAsiaTheme="minorEastAsia" w:hAnsiTheme="minorHAnsi" w:cstheme="minorBidi"/>
          <w:noProof/>
          <w:sz w:val="22"/>
          <w:szCs w:val="22"/>
          <w:lang w:val="en-US"/>
        </w:rPr>
        <w:tab/>
      </w:r>
      <w:r w:rsidR="004208E1">
        <w:rPr>
          <w:noProof/>
        </w:rPr>
        <w:t>Height dependent MR configuration parameters can be configured using combination of events.</w:t>
      </w:r>
    </w:p>
    <w:p w14:paraId="25BC329C" w14:textId="77777777" w:rsidR="004208E1" w:rsidRDefault="004208E1">
      <w:pPr>
        <w:pStyle w:val="TOC1"/>
        <w:rPr>
          <w:rFonts w:asciiTheme="minorHAnsi" w:eastAsiaTheme="minorEastAsia" w:hAnsiTheme="minorHAnsi" w:cstheme="minorBidi"/>
          <w:noProof/>
          <w:sz w:val="22"/>
          <w:szCs w:val="22"/>
          <w:lang w:val="en-US"/>
        </w:rPr>
      </w:pPr>
      <w:r>
        <w:rPr>
          <w:noProof/>
        </w:rPr>
        <w:t>Observation 2.</w:t>
      </w:r>
      <w:r>
        <w:rPr>
          <w:rFonts w:asciiTheme="minorHAnsi" w:eastAsiaTheme="minorEastAsia" w:hAnsiTheme="minorHAnsi" w:cstheme="minorBidi"/>
          <w:noProof/>
          <w:sz w:val="22"/>
          <w:szCs w:val="22"/>
          <w:lang w:val="en-US"/>
        </w:rPr>
        <w:tab/>
      </w:r>
      <w:r>
        <w:rPr>
          <w:noProof/>
        </w:rPr>
        <w:t>According to LTE procedure for H1/H2 triggered measurement reporting, height, location and/or velocity measurement reports cannot be sent alone without being included along with other radio measurements.</w:t>
      </w:r>
    </w:p>
    <w:p w14:paraId="3FEE5B12" w14:textId="77777777" w:rsidR="004208E1" w:rsidRDefault="004208E1">
      <w:pPr>
        <w:pStyle w:val="TOC1"/>
        <w:rPr>
          <w:rFonts w:asciiTheme="minorHAnsi" w:eastAsiaTheme="minorEastAsia" w:hAnsiTheme="minorHAnsi" w:cstheme="minorBidi"/>
          <w:noProof/>
          <w:sz w:val="22"/>
          <w:szCs w:val="22"/>
          <w:lang w:val="en-US"/>
        </w:rPr>
      </w:pPr>
      <w:r>
        <w:rPr>
          <w:noProof/>
        </w:rPr>
        <w:t>Observation 3.</w:t>
      </w:r>
      <w:r>
        <w:rPr>
          <w:rFonts w:asciiTheme="minorHAnsi" w:eastAsiaTheme="minorEastAsia" w:hAnsiTheme="minorHAnsi" w:cstheme="minorBidi"/>
          <w:noProof/>
          <w:sz w:val="22"/>
          <w:szCs w:val="22"/>
          <w:lang w:val="en-US"/>
        </w:rPr>
        <w:tab/>
      </w:r>
      <w:r>
        <w:rPr>
          <w:noProof/>
        </w:rPr>
        <w:t>For some use cases, reporting height, location and/or velocity without accompanying RRM report is desirable.</w:t>
      </w:r>
    </w:p>
    <w:p w14:paraId="3628978F" w14:textId="77777777" w:rsidR="004208E1" w:rsidRDefault="004208E1">
      <w:pPr>
        <w:pStyle w:val="TOC1"/>
        <w:rPr>
          <w:rFonts w:asciiTheme="minorHAnsi" w:eastAsiaTheme="minorEastAsia" w:hAnsiTheme="minorHAnsi" w:cstheme="minorBidi"/>
          <w:noProof/>
          <w:sz w:val="22"/>
          <w:szCs w:val="22"/>
          <w:lang w:val="en-US"/>
        </w:rPr>
      </w:pPr>
      <w:r>
        <w:rPr>
          <w:noProof/>
        </w:rPr>
        <w:t>Observation 4.</w:t>
      </w:r>
      <w:r>
        <w:rPr>
          <w:rFonts w:asciiTheme="minorHAnsi" w:eastAsiaTheme="minorEastAsia" w:hAnsiTheme="minorHAnsi" w:cstheme="minorBidi"/>
          <w:noProof/>
          <w:sz w:val="22"/>
          <w:szCs w:val="22"/>
          <w:lang w:val="en-US"/>
        </w:rPr>
        <w:tab/>
      </w:r>
      <w:r>
        <w:rPr>
          <w:noProof/>
        </w:rPr>
        <w:t>In LTE UAV, there is no configuration on whether to report UE height upon H1/H2 trigger; however, for NR, RAN2 has agreed to make the content of the measurement report configurable.</w:t>
      </w:r>
    </w:p>
    <w:p w14:paraId="4E4B1081" w14:textId="77777777" w:rsidR="004208E1" w:rsidRDefault="004208E1">
      <w:pPr>
        <w:pStyle w:val="TOC1"/>
        <w:rPr>
          <w:rFonts w:asciiTheme="minorHAnsi" w:eastAsiaTheme="minorEastAsia" w:hAnsiTheme="minorHAnsi" w:cstheme="minorBidi"/>
          <w:noProof/>
          <w:sz w:val="22"/>
          <w:szCs w:val="22"/>
          <w:lang w:val="en-US"/>
        </w:rPr>
      </w:pPr>
      <w:r>
        <w:rPr>
          <w:noProof/>
        </w:rPr>
        <w:t>Observation 5.</w:t>
      </w:r>
      <w:r>
        <w:rPr>
          <w:rFonts w:asciiTheme="minorHAnsi" w:eastAsiaTheme="minorEastAsia" w:hAnsiTheme="minorHAnsi" w:cstheme="minorBidi"/>
          <w:noProof/>
          <w:sz w:val="22"/>
          <w:szCs w:val="22"/>
          <w:lang w:val="en-US"/>
        </w:rPr>
        <w:tab/>
      </w:r>
      <w:r>
        <w:rPr>
          <w:noProof/>
        </w:rPr>
        <w:t xml:space="preserve">Uncompensated barometric pressure reporting mechanism exists in NR. LTE-like height reporting (using </w:t>
      </w:r>
      <w:r w:rsidRPr="00495827">
        <w:rPr>
          <w:i/>
          <w:iCs/>
          <w:noProof/>
        </w:rPr>
        <w:t>heightUE</w:t>
      </w:r>
      <w:r>
        <w:rPr>
          <w:noProof/>
        </w:rPr>
        <w:t>) does not exist for NR.</w:t>
      </w:r>
    </w:p>
    <w:p w14:paraId="30C5109D" w14:textId="77777777" w:rsidR="004208E1" w:rsidRDefault="004208E1">
      <w:pPr>
        <w:pStyle w:val="TOC1"/>
        <w:rPr>
          <w:rFonts w:asciiTheme="minorHAnsi" w:eastAsiaTheme="minorEastAsia" w:hAnsiTheme="minorHAnsi" w:cstheme="minorBidi"/>
          <w:noProof/>
          <w:sz w:val="22"/>
          <w:szCs w:val="22"/>
          <w:lang w:val="en-US"/>
        </w:rPr>
      </w:pPr>
      <w:r>
        <w:rPr>
          <w:noProof/>
        </w:rPr>
        <w:t>Observation 6.</w:t>
      </w:r>
      <w:r>
        <w:rPr>
          <w:rFonts w:asciiTheme="minorHAnsi" w:eastAsiaTheme="minorEastAsia" w:hAnsiTheme="minorHAnsi" w:cstheme="minorBidi"/>
          <w:noProof/>
          <w:sz w:val="22"/>
          <w:szCs w:val="22"/>
          <w:lang w:val="en-US"/>
        </w:rPr>
        <w:tab/>
      </w:r>
      <w:r>
        <w:rPr>
          <w:noProof/>
        </w:rPr>
        <w:t>For aerial UEs capable of different antenna configurations, the antenna configuration change may result in significant inter-cell interference variation.</w:t>
      </w:r>
    </w:p>
    <w:p w14:paraId="131B1228" w14:textId="77777777" w:rsidR="004208E1" w:rsidRDefault="004208E1">
      <w:pPr>
        <w:pStyle w:val="TOC1"/>
        <w:rPr>
          <w:rFonts w:asciiTheme="minorHAnsi" w:eastAsiaTheme="minorEastAsia" w:hAnsiTheme="minorHAnsi" w:cstheme="minorBidi"/>
          <w:noProof/>
          <w:sz w:val="22"/>
          <w:szCs w:val="22"/>
          <w:lang w:val="en-US"/>
        </w:rPr>
      </w:pPr>
      <w:r>
        <w:rPr>
          <w:noProof/>
        </w:rPr>
        <w:t>Observation 7.</w:t>
      </w:r>
      <w:r>
        <w:rPr>
          <w:rFonts w:asciiTheme="minorHAnsi" w:eastAsiaTheme="minorEastAsia" w:hAnsiTheme="minorHAnsi" w:cstheme="minorBidi"/>
          <w:noProof/>
          <w:sz w:val="22"/>
          <w:szCs w:val="22"/>
          <w:lang w:val="en-US"/>
        </w:rPr>
        <w:tab/>
      </w:r>
      <w:r>
        <w:rPr>
          <w:noProof/>
        </w:rPr>
        <w:t>ECC decision (22)07 describes the need of no-transmit zones for aerial UEs, however current WI doesn’t have a directly related objective.</w:t>
      </w:r>
    </w:p>
    <w:p w14:paraId="67DB1FE3" w14:textId="10944813" w:rsidR="00CD713F" w:rsidRPr="00456300" w:rsidRDefault="0088117B" w:rsidP="0088117B">
      <w:pPr>
        <w:jc w:val="both"/>
      </w:pPr>
      <w:r w:rsidRPr="00113C98">
        <w:rPr>
          <w:b/>
        </w:rPr>
        <w:fldChar w:fldCharType="end"/>
      </w:r>
    </w:p>
    <w:p w14:paraId="1879CBF4" w14:textId="5530EE25" w:rsidR="00A52A8A" w:rsidRDefault="00A52A8A" w:rsidP="00747CB4">
      <w:pPr>
        <w:spacing w:line="276" w:lineRule="auto"/>
        <w:jc w:val="both"/>
      </w:pPr>
      <w:r>
        <w:t xml:space="preserve">Based on the </w:t>
      </w:r>
      <w:r w:rsidR="00DA1A0B">
        <w:t xml:space="preserve">discussion and </w:t>
      </w:r>
      <w:r>
        <w:t>observations, w</w:t>
      </w:r>
      <w:r w:rsidRPr="00FB4733">
        <w:t>e propose:</w:t>
      </w:r>
    </w:p>
    <w:p w14:paraId="18D541C4" w14:textId="77777777" w:rsidR="004208E1" w:rsidRDefault="0088117B">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4208E1">
        <w:rPr>
          <w:noProof/>
        </w:rPr>
        <w:t>Proposal 1.</w:t>
      </w:r>
      <w:r w:rsidR="004208E1">
        <w:rPr>
          <w:rFonts w:asciiTheme="minorHAnsi" w:eastAsiaTheme="minorEastAsia" w:hAnsiTheme="minorHAnsi" w:cstheme="minorBidi"/>
          <w:noProof/>
          <w:sz w:val="22"/>
          <w:szCs w:val="22"/>
          <w:lang w:val="en-US"/>
        </w:rPr>
        <w:tab/>
      </w:r>
      <w:r w:rsidR="004208E1">
        <w:rPr>
          <w:noProof/>
        </w:rPr>
        <w:t xml:space="preserve">Add height-based list of </w:t>
      </w:r>
      <w:r w:rsidR="004208E1" w:rsidRPr="00F55CE3">
        <w:rPr>
          <w:i/>
          <w:iCs/>
          <w:noProof/>
        </w:rPr>
        <w:t>SSB-ToMeasure</w:t>
      </w:r>
      <w:r w:rsidR="004208E1">
        <w:rPr>
          <w:noProof/>
        </w:rPr>
        <w:t xml:space="preserve"> with corresponding height ranges and hysteresis in </w:t>
      </w:r>
      <w:r w:rsidR="004208E1" w:rsidRPr="00F55CE3">
        <w:rPr>
          <w:i/>
          <w:iCs/>
          <w:noProof/>
        </w:rPr>
        <w:t>MeasObjectNR</w:t>
      </w:r>
      <w:r w:rsidR="004208E1">
        <w:rPr>
          <w:noProof/>
        </w:rPr>
        <w:t xml:space="preserve"> (TP shown above can be taken as baseline).</w:t>
      </w:r>
    </w:p>
    <w:p w14:paraId="4848C5DC" w14:textId="77777777" w:rsidR="004208E1" w:rsidRDefault="004208E1">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Use combination of events for the configuration of height-dependent MR configuration parameters.</w:t>
      </w:r>
    </w:p>
    <w:p w14:paraId="2ADB519B" w14:textId="77777777" w:rsidR="004208E1" w:rsidRDefault="004208E1">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UE height, location and/or velocity reporting without being accompanied by other RRM report is supported.</w:t>
      </w:r>
    </w:p>
    <w:p w14:paraId="3AD66221" w14:textId="77777777" w:rsidR="004208E1" w:rsidRDefault="004208E1">
      <w:pPr>
        <w:pStyle w:val="TOC1"/>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Whether UE height is included when event H1 or H2 triggers is also configurable by the network.</w:t>
      </w:r>
    </w:p>
    <w:p w14:paraId="4D7F5604" w14:textId="77777777" w:rsidR="004208E1" w:rsidRDefault="004208E1">
      <w:pPr>
        <w:pStyle w:val="TOC1"/>
        <w:rPr>
          <w:rFonts w:asciiTheme="minorHAnsi" w:eastAsiaTheme="minorEastAsia" w:hAnsiTheme="minorHAnsi" w:cstheme="minorBidi"/>
          <w:noProof/>
          <w:sz w:val="22"/>
          <w:szCs w:val="22"/>
          <w:lang w:val="en-US"/>
        </w:rPr>
      </w:pPr>
      <w:r>
        <w:rPr>
          <w:noProof/>
        </w:rPr>
        <w:t>Proposal 5.</w:t>
      </w:r>
      <w:r>
        <w:rPr>
          <w:rFonts w:asciiTheme="minorHAnsi" w:eastAsiaTheme="minorEastAsia" w:hAnsiTheme="minorHAnsi" w:cstheme="minorBidi"/>
          <w:noProof/>
          <w:sz w:val="22"/>
          <w:szCs w:val="22"/>
          <w:lang w:val="en-US"/>
        </w:rPr>
        <w:tab/>
      </w:r>
      <w:r>
        <w:rPr>
          <w:noProof/>
        </w:rPr>
        <w:t>H1/H2 triggered UE height reporting using uncompensated barometric pressure measurement is supported. (Height reporting using an RRC field as in LTE is not introduced.)</w:t>
      </w:r>
    </w:p>
    <w:p w14:paraId="2913C2FA" w14:textId="77777777" w:rsidR="004208E1" w:rsidRDefault="004208E1">
      <w:pPr>
        <w:pStyle w:val="TOC1"/>
        <w:rPr>
          <w:rFonts w:asciiTheme="minorHAnsi" w:eastAsiaTheme="minorEastAsia" w:hAnsiTheme="minorHAnsi" w:cstheme="minorBidi"/>
          <w:noProof/>
          <w:sz w:val="22"/>
          <w:szCs w:val="22"/>
          <w:lang w:val="en-US"/>
        </w:rPr>
      </w:pPr>
      <w:r>
        <w:rPr>
          <w:noProof/>
        </w:rPr>
        <w:t>Proposal 6.</w:t>
      </w:r>
      <w:r>
        <w:rPr>
          <w:rFonts w:asciiTheme="minorHAnsi" w:eastAsiaTheme="minorEastAsia" w:hAnsiTheme="minorHAnsi" w:cstheme="minorBidi"/>
          <w:noProof/>
          <w:sz w:val="22"/>
          <w:szCs w:val="22"/>
          <w:lang w:val="en-US"/>
        </w:rPr>
        <w:tab/>
      </w:r>
      <w:r>
        <w:rPr>
          <w:noProof/>
        </w:rPr>
        <w:t xml:space="preserve">Introduce </w:t>
      </w:r>
      <w:r w:rsidRPr="00F55CE3">
        <w:rPr>
          <w:i/>
          <w:iCs/>
          <w:noProof/>
        </w:rPr>
        <w:t>change in antenna/beam configuration</w:t>
      </w:r>
      <w:r>
        <w:rPr>
          <w:noProof/>
        </w:rPr>
        <w:t xml:space="preserve"> as an optional trigger for reporting of UAV location, speed and/or antenna/beam configuration. Details FFS.</w:t>
      </w:r>
    </w:p>
    <w:p w14:paraId="762BBD65" w14:textId="77777777" w:rsidR="004208E1" w:rsidRDefault="004208E1">
      <w:pPr>
        <w:pStyle w:val="TOC1"/>
        <w:rPr>
          <w:rFonts w:asciiTheme="minorHAnsi" w:eastAsiaTheme="minorEastAsia" w:hAnsiTheme="minorHAnsi" w:cstheme="minorBidi"/>
          <w:noProof/>
          <w:sz w:val="22"/>
          <w:szCs w:val="22"/>
          <w:lang w:val="en-US"/>
        </w:rPr>
      </w:pPr>
      <w:r>
        <w:rPr>
          <w:noProof/>
        </w:rPr>
        <w:t>Proposal 7.</w:t>
      </w:r>
      <w:r>
        <w:rPr>
          <w:rFonts w:asciiTheme="minorHAnsi" w:eastAsiaTheme="minorEastAsia" w:hAnsiTheme="minorHAnsi" w:cstheme="minorBidi"/>
          <w:noProof/>
          <w:sz w:val="22"/>
          <w:szCs w:val="22"/>
          <w:lang w:val="en-US"/>
        </w:rPr>
        <w:tab/>
      </w:r>
      <w:r>
        <w:rPr>
          <w:noProof/>
        </w:rPr>
        <w:t>Discuss whether impact of ECC decision (22)07 regarding no-transmit zones should be studied in Rel-18 or can be left for Rel-19.</w:t>
      </w:r>
    </w:p>
    <w:p w14:paraId="054F088D" w14:textId="070DBDF6" w:rsidR="0088117B" w:rsidRPr="00456300" w:rsidRDefault="0088117B" w:rsidP="0088117B">
      <w:pPr>
        <w:jc w:val="both"/>
      </w:pPr>
      <w:r w:rsidRPr="00113C98">
        <w:rPr>
          <w:b/>
        </w:rPr>
        <w:fldChar w:fldCharType="end"/>
      </w:r>
    </w:p>
    <w:p w14:paraId="32F7E829" w14:textId="0DD5E914" w:rsidR="00CB1C5B" w:rsidRPr="004721D9" w:rsidRDefault="00CB1C5B" w:rsidP="00747CB4">
      <w:pPr>
        <w:pStyle w:val="Heading1"/>
        <w:spacing w:line="276" w:lineRule="auto"/>
      </w:pPr>
      <w:r w:rsidRPr="004721D9">
        <w:t>References</w:t>
      </w:r>
    </w:p>
    <w:p w14:paraId="217E8632" w14:textId="1265127E" w:rsidR="0053459F" w:rsidRDefault="00175052" w:rsidP="0053459F">
      <w:pPr>
        <w:spacing w:after="0" w:line="276" w:lineRule="auto"/>
        <w:rPr>
          <w:bCs/>
          <w:shd w:val="clear" w:color="auto" w:fill="FFFFFF"/>
        </w:rPr>
      </w:pPr>
      <w:r>
        <w:rPr>
          <w:bCs/>
          <w:shd w:val="clear" w:color="auto" w:fill="FFFFFF"/>
        </w:rPr>
        <w:t xml:space="preserve">[1] </w:t>
      </w:r>
      <w:r w:rsidR="0053459F" w:rsidRPr="00175052">
        <w:rPr>
          <w:bCs/>
          <w:shd w:val="clear" w:color="auto" w:fill="FFFFFF"/>
        </w:rPr>
        <w:t>RP-2</w:t>
      </w:r>
      <w:r w:rsidR="0053459F">
        <w:rPr>
          <w:bCs/>
          <w:shd w:val="clear" w:color="auto" w:fill="FFFFFF"/>
        </w:rPr>
        <w:t>30782, Revised</w:t>
      </w:r>
      <w:r w:rsidR="0053459F" w:rsidRPr="00175052">
        <w:rPr>
          <w:bCs/>
          <w:shd w:val="clear" w:color="auto" w:fill="FFFFFF"/>
        </w:rPr>
        <w:t xml:space="preserve"> WID</w:t>
      </w:r>
      <w:r w:rsidR="0053459F">
        <w:rPr>
          <w:bCs/>
          <w:shd w:val="clear" w:color="auto" w:fill="FFFFFF"/>
        </w:rPr>
        <w:t>:</w:t>
      </w:r>
      <w:r w:rsidR="0053459F" w:rsidRPr="00175052">
        <w:rPr>
          <w:bCs/>
          <w:shd w:val="clear" w:color="auto" w:fill="FFFFFF"/>
        </w:rPr>
        <w:t xml:space="preserve"> NR support for UAV (Uncrewed Aerial Vehicles)</w:t>
      </w:r>
      <w:r w:rsidR="0053459F">
        <w:rPr>
          <w:bCs/>
          <w:shd w:val="clear" w:color="auto" w:fill="FFFFFF"/>
        </w:rPr>
        <w:t>, RAN</w:t>
      </w:r>
      <w:r w:rsidR="0053459F" w:rsidRPr="00175052">
        <w:rPr>
          <w:bCs/>
          <w:shd w:val="clear" w:color="auto" w:fill="FFFFFF"/>
        </w:rPr>
        <w:t>#9</w:t>
      </w:r>
      <w:r w:rsidR="0053459F">
        <w:rPr>
          <w:bCs/>
          <w:shd w:val="clear" w:color="auto" w:fill="FFFFFF"/>
        </w:rPr>
        <w:t>9, March 2023</w:t>
      </w:r>
    </w:p>
    <w:p w14:paraId="58AA9255" w14:textId="192265AC" w:rsidR="00E81026" w:rsidRDefault="002975BE" w:rsidP="00594D84">
      <w:pPr>
        <w:spacing w:after="0" w:line="276" w:lineRule="auto"/>
        <w:rPr>
          <w:bCs/>
          <w:shd w:val="clear" w:color="auto" w:fill="FFFFFF"/>
        </w:rPr>
      </w:pPr>
      <w:r w:rsidRPr="007F0892">
        <w:rPr>
          <w:bCs/>
          <w:shd w:val="clear" w:color="auto" w:fill="FFFFFF"/>
        </w:rPr>
        <w:t>[</w:t>
      </w:r>
      <w:r w:rsidR="00175052">
        <w:rPr>
          <w:bCs/>
          <w:shd w:val="clear" w:color="auto" w:fill="FFFFFF"/>
        </w:rPr>
        <w:t>2</w:t>
      </w:r>
      <w:r w:rsidRPr="007F0892">
        <w:rPr>
          <w:bCs/>
          <w:shd w:val="clear" w:color="auto" w:fill="FFFFFF"/>
        </w:rPr>
        <w:t xml:space="preserve">] </w:t>
      </w:r>
      <w:r w:rsidR="00A615EF">
        <w:rPr>
          <w:bCs/>
          <w:shd w:val="clear" w:color="auto" w:fill="FFFFFF"/>
        </w:rPr>
        <w:t>TR 36.777</w:t>
      </w:r>
      <w:r w:rsidR="00D23959">
        <w:rPr>
          <w:bCs/>
          <w:shd w:val="clear" w:color="auto" w:fill="FFFFFF"/>
        </w:rPr>
        <w:t xml:space="preserve">, </w:t>
      </w:r>
      <w:r w:rsidR="00D23959" w:rsidRPr="00D23959">
        <w:rPr>
          <w:bCs/>
          <w:shd w:val="clear" w:color="auto" w:fill="FFFFFF"/>
        </w:rPr>
        <w:t>Study on Enhanced LTE Support for Aerial Vehicles</w:t>
      </w:r>
      <w:r w:rsidR="00D23959">
        <w:rPr>
          <w:bCs/>
          <w:shd w:val="clear" w:color="auto" w:fill="FFFFFF"/>
        </w:rPr>
        <w:t xml:space="preserve"> </w:t>
      </w:r>
      <w:r w:rsidR="00D23959" w:rsidRPr="00D23959">
        <w:rPr>
          <w:bCs/>
          <w:shd w:val="clear" w:color="auto" w:fill="FFFFFF"/>
        </w:rPr>
        <w:t>(Release 15)</w:t>
      </w:r>
      <w:r w:rsidR="00D23959">
        <w:rPr>
          <w:bCs/>
          <w:shd w:val="clear" w:color="auto" w:fill="FFFFFF"/>
        </w:rPr>
        <w:t>, Technical Report</w:t>
      </w:r>
    </w:p>
    <w:sectPr w:rsidR="00E81026" w:rsidSect="00DB23A5">
      <w:pgSz w:w="12240" w:h="15840"/>
      <w:pgMar w:top="108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82CF2" w14:textId="77777777" w:rsidR="00B7777D" w:rsidRDefault="00B7777D" w:rsidP="00860D27">
      <w:pPr>
        <w:spacing w:after="0"/>
      </w:pPr>
      <w:r>
        <w:separator/>
      </w:r>
    </w:p>
  </w:endnote>
  <w:endnote w:type="continuationSeparator" w:id="0">
    <w:p w14:paraId="04AB26B5" w14:textId="77777777" w:rsidR="00B7777D" w:rsidRDefault="00B7777D" w:rsidP="00860D27">
      <w:pPr>
        <w:spacing w:after="0"/>
      </w:pPr>
      <w:r>
        <w:continuationSeparator/>
      </w:r>
    </w:p>
  </w:endnote>
  <w:endnote w:type="continuationNotice" w:id="1">
    <w:p w14:paraId="3E9C4525" w14:textId="77777777" w:rsidR="00B7777D" w:rsidRDefault="00B77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8D62B" w14:textId="77777777" w:rsidR="00B7777D" w:rsidRDefault="00B7777D" w:rsidP="00860D27">
      <w:pPr>
        <w:spacing w:after="0"/>
      </w:pPr>
      <w:r>
        <w:separator/>
      </w:r>
    </w:p>
  </w:footnote>
  <w:footnote w:type="continuationSeparator" w:id="0">
    <w:p w14:paraId="4CEFBC3A" w14:textId="77777777" w:rsidR="00B7777D" w:rsidRDefault="00B7777D" w:rsidP="00860D27">
      <w:pPr>
        <w:spacing w:after="0"/>
      </w:pPr>
      <w:r>
        <w:continuationSeparator/>
      </w:r>
    </w:p>
  </w:footnote>
  <w:footnote w:type="continuationNotice" w:id="1">
    <w:p w14:paraId="4FFB4082" w14:textId="77777777" w:rsidR="00B7777D" w:rsidRDefault="00B777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330A77"/>
    <w:multiLevelType w:val="hybridMultilevel"/>
    <w:tmpl w:val="49A238EC"/>
    <w:lvl w:ilvl="0" w:tplc="37089E80">
      <w:start w:val="12"/>
      <w:numFmt w:val="lowerLetter"/>
      <w:lvlText w:val="%1)"/>
      <w:lvlJc w:val="left"/>
      <w:pPr>
        <w:ind w:left="786" w:hanging="360"/>
      </w:pPr>
      <w:rPr>
        <w:rFonts w:ascii="Arial" w:hAnsi="Arial" w:cs="Times New Roman" w:hint="default"/>
        <w:b w:val="0"/>
        <w:bCs w:val="0"/>
        <w:i w:val="0"/>
        <w:iCs w:val="0"/>
        <w:color w:val="D2232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573CF"/>
    <w:multiLevelType w:val="multilevel"/>
    <w:tmpl w:val="4114F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4"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0537248"/>
    <w:multiLevelType w:val="hybridMultilevel"/>
    <w:tmpl w:val="02F4CC30"/>
    <w:lvl w:ilvl="0" w:tplc="FBE07A5A">
      <w:start w:val="4"/>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774C67"/>
    <w:multiLevelType w:val="multilevel"/>
    <w:tmpl w:val="4B774C6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sz w:val="24"/>
      </w:r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6B6603A9"/>
    <w:multiLevelType w:val="hybridMultilevel"/>
    <w:tmpl w:val="3F7E11FA"/>
    <w:lvl w:ilvl="0" w:tplc="0BDAF148">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11"/>
  </w:num>
  <w:num w:numId="2" w16cid:durableId="1562669846">
    <w:abstractNumId w:val="3"/>
  </w:num>
  <w:num w:numId="3" w16cid:durableId="429400238">
    <w:abstractNumId w:val="0"/>
  </w:num>
  <w:num w:numId="4" w16cid:durableId="1006593586">
    <w:abstractNumId w:val="10"/>
  </w:num>
  <w:num w:numId="5" w16cid:durableId="1965312186">
    <w:abstractNumId w:val="5"/>
  </w:num>
  <w:num w:numId="6" w16cid:durableId="2026513931">
    <w:abstractNumId w:val="7"/>
  </w:num>
  <w:num w:numId="7" w16cid:durableId="1923759039">
    <w:abstractNumId w:val="2"/>
    <w:lvlOverride w:ilvl="0">
      <w:startOverride w:val="1"/>
    </w:lvlOverride>
  </w:num>
  <w:num w:numId="8" w16cid:durableId="2007901143">
    <w:abstractNumId w:val="8"/>
  </w:num>
  <w:num w:numId="9" w16cid:durableId="67072510">
    <w:abstractNumId w:val="4"/>
  </w:num>
  <w:num w:numId="10" w16cid:durableId="343018263">
    <w:abstractNumId w:val="1"/>
  </w:num>
  <w:num w:numId="11" w16cid:durableId="843008833">
    <w:abstractNumId w:val="9"/>
  </w:num>
  <w:num w:numId="12" w16cid:durableId="1396666179">
    <w:abstractNumId w:val="6"/>
  </w:num>
  <w:num w:numId="13" w16cid:durableId="1624380424">
    <w:abstractNumId w:val="10"/>
  </w:num>
  <w:num w:numId="14" w16cid:durableId="183333137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6C8"/>
    <w:rsid w:val="00000A68"/>
    <w:rsid w:val="000041A0"/>
    <w:rsid w:val="00004611"/>
    <w:rsid w:val="00004E87"/>
    <w:rsid w:val="00006BD3"/>
    <w:rsid w:val="00006D93"/>
    <w:rsid w:val="0001102B"/>
    <w:rsid w:val="00012E40"/>
    <w:rsid w:val="00015268"/>
    <w:rsid w:val="00015C04"/>
    <w:rsid w:val="00017CEE"/>
    <w:rsid w:val="00021364"/>
    <w:rsid w:val="0002364F"/>
    <w:rsid w:val="000244C7"/>
    <w:rsid w:val="00024C64"/>
    <w:rsid w:val="00024D2F"/>
    <w:rsid w:val="00030B16"/>
    <w:rsid w:val="00030BC2"/>
    <w:rsid w:val="00031084"/>
    <w:rsid w:val="00031805"/>
    <w:rsid w:val="000322FA"/>
    <w:rsid w:val="00034BB7"/>
    <w:rsid w:val="00035170"/>
    <w:rsid w:val="00035257"/>
    <w:rsid w:val="00036273"/>
    <w:rsid w:val="000403B6"/>
    <w:rsid w:val="00040DEA"/>
    <w:rsid w:val="00043C85"/>
    <w:rsid w:val="00044858"/>
    <w:rsid w:val="000454B7"/>
    <w:rsid w:val="00045725"/>
    <w:rsid w:val="000468F3"/>
    <w:rsid w:val="00046B05"/>
    <w:rsid w:val="00046EDE"/>
    <w:rsid w:val="00046EFD"/>
    <w:rsid w:val="00047689"/>
    <w:rsid w:val="000522C1"/>
    <w:rsid w:val="00054B46"/>
    <w:rsid w:val="0005702C"/>
    <w:rsid w:val="0005708F"/>
    <w:rsid w:val="000604D8"/>
    <w:rsid w:val="00060ADA"/>
    <w:rsid w:val="00061A7A"/>
    <w:rsid w:val="00061D3C"/>
    <w:rsid w:val="000627E6"/>
    <w:rsid w:val="000628D4"/>
    <w:rsid w:val="0006339B"/>
    <w:rsid w:val="00063525"/>
    <w:rsid w:val="00063615"/>
    <w:rsid w:val="00063C71"/>
    <w:rsid w:val="0006562E"/>
    <w:rsid w:val="00066D09"/>
    <w:rsid w:val="000674C0"/>
    <w:rsid w:val="00071549"/>
    <w:rsid w:val="0007187C"/>
    <w:rsid w:val="00071EE1"/>
    <w:rsid w:val="000728E7"/>
    <w:rsid w:val="00072EA0"/>
    <w:rsid w:val="00073D33"/>
    <w:rsid w:val="00076874"/>
    <w:rsid w:val="00080100"/>
    <w:rsid w:val="0008017F"/>
    <w:rsid w:val="000810A5"/>
    <w:rsid w:val="00081B65"/>
    <w:rsid w:val="00081F4C"/>
    <w:rsid w:val="000846BD"/>
    <w:rsid w:val="00086962"/>
    <w:rsid w:val="00087DE3"/>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03BD"/>
    <w:rsid w:val="000C0EF7"/>
    <w:rsid w:val="000C19EA"/>
    <w:rsid w:val="000C20AC"/>
    <w:rsid w:val="000C2B79"/>
    <w:rsid w:val="000C3860"/>
    <w:rsid w:val="000C5181"/>
    <w:rsid w:val="000C5BA9"/>
    <w:rsid w:val="000C664C"/>
    <w:rsid w:val="000C7BF0"/>
    <w:rsid w:val="000D1140"/>
    <w:rsid w:val="000D1833"/>
    <w:rsid w:val="000D2968"/>
    <w:rsid w:val="000D6E94"/>
    <w:rsid w:val="000E14DC"/>
    <w:rsid w:val="000E1573"/>
    <w:rsid w:val="000E164A"/>
    <w:rsid w:val="000E1C37"/>
    <w:rsid w:val="000E257C"/>
    <w:rsid w:val="000E67F5"/>
    <w:rsid w:val="000F08B7"/>
    <w:rsid w:val="000F095F"/>
    <w:rsid w:val="000F0D1B"/>
    <w:rsid w:val="000F363B"/>
    <w:rsid w:val="000F3BF6"/>
    <w:rsid w:val="000F41FA"/>
    <w:rsid w:val="000F56E1"/>
    <w:rsid w:val="000F61A2"/>
    <w:rsid w:val="000F729A"/>
    <w:rsid w:val="000F7640"/>
    <w:rsid w:val="000F77D4"/>
    <w:rsid w:val="00100FD0"/>
    <w:rsid w:val="0010167C"/>
    <w:rsid w:val="00101CCB"/>
    <w:rsid w:val="0010596D"/>
    <w:rsid w:val="00105E01"/>
    <w:rsid w:val="0010693B"/>
    <w:rsid w:val="00106B4D"/>
    <w:rsid w:val="001079A0"/>
    <w:rsid w:val="00110CF9"/>
    <w:rsid w:val="00111464"/>
    <w:rsid w:val="00111E25"/>
    <w:rsid w:val="001129AD"/>
    <w:rsid w:val="00114AEA"/>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FF5"/>
    <w:rsid w:val="001363FD"/>
    <w:rsid w:val="00136F15"/>
    <w:rsid w:val="001407C9"/>
    <w:rsid w:val="00141B75"/>
    <w:rsid w:val="001437A6"/>
    <w:rsid w:val="00143C8B"/>
    <w:rsid w:val="0014414C"/>
    <w:rsid w:val="001442B2"/>
    <w:rsid w:val="001450E5"/>
    <w:rsid w:val="001455D3"/>
    <w:rsid w:val="001463A2"/>
    <w:rsid w:val="00147701"/>
    <w:rsid w:val="00147C38"/>
    <w:rsid w:val="00150194"/>
    <w:rsid w:val="0015171E"/>
    <w:rsid w:val="00154044"/>
    <w:rsid w:val="0015475E"/>
    <w:rsid w:val="00155E5E"/>
    <w:rsid w:val="00156EF6"/>
    <w:rsid w:val="00157BDF"/>
    <w:rsid w:val="001603D9"/>
    <w:rsid w:val="00160583"/>
    <w:rsid w:val="00161C55"/>
    <w:rsid w:val="00162507"/>
    <w:rsid w:val="0016374B"/>
    <w:rsid w:val="001642FF"/>
    <w:rsid w:val="00167082"/>
    <w:rsid w:val="00167642"/>
    <w:rsid w:val="00170228"/>
    <w:rsid w:val="0017207A"/>
    <w:rsid w:val="00174566"/>
    <w:rsid w:val="00175052"/>
    <w:rsid w:val="001765E6"/>
    <w:rsid w:val="001770A3"/>
    <w:rsid w:val="00177C69"/>
    <w:rsid w:val="0018093F"/>
    <w:rsid w:val="0018336B"/>
    <w:rsid w:val="001836F3"/>
    <w:rsid w:val="00185D58"/>
    <w:rsid w:val="00186742"/>
    <w:rsid w:val="0018782A"/>
    <w:rsid w:val="001928CB"/>
    <w:rsid w:val="00193914"/>
    <w:rsid w:val="00193CD5"/>
    <w:rsid w:val="001949CF"/>
    <w:rsid w:val="001A00CB"/>
    <w:rsid w:val="001A181C"/>
    <w:rsid w:val="001A3027"/>
    <w:rsid w:val="001A329F"/>
    <w:rsid w:val="001A3FF9"/>
    <w:rsid w:val="001A4C95"/>
    <w:rsid w:val="001A6755"/>
    <w:rsid w:val="001A784E"/>
    <w:rsid w:val="001A7B56"/>
    <w:rsid w:val="001B0B37"/>
    <w:rsid w:val="001B153D"/>
    <w:rsid w:val="001B6A02"/>
    <w:rsid w:val="001C0B3F"/>
    <w:rsid w:val="001C12F4"/>
    <w:rsid w:val="001C2399"/>
    <w:rsid w:val="001C23E8"/>
    <w:rsid w:val="001C2590"/>
    <w:rsid w:val="001C3A1E"/>
    <w:rsid w:val="001C42D3"/>
    <w:rsid w:val="001C44CC"/>
    <w:rsid w:val="001C79FA"/>
    <w:rsid w:val="001D15A6"/>
    <w:rsid w:val="001D2912"/>
    <w:rsid w:val="001D2AA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0EA1"/>
    <w:rsid w:val="00231510"/>
    <w:rsid w:val="00231FA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589D"/>
    <w:rsid w:val="00265B02"/>
    <w:rsid w:val="00267BF4"/>
    <w:rsid w:val="00267F7F"/>
    <w:rsid w:val="00270BC4"/>
    <w:rsid w:val="002725C2"/>
    <w:rsid w:val="00274DFE"/>
    <w:rsid w:val="0027555B"/>
    <w:rsid w:val="0027612C"/>
    <w:rsid w:val="002818BC"/>
    <w:rsid w:val="00281C99"/>
    <w:rsid w:val="002845A5"/>
    <w:rsid w:val="00285775"/>
    <w:rsid w:val="00286603"/>
    <w:rsid w:val="00286A62"/>
    <w:rsid w:val="002877E4"/>
    <w:rsid w:val="002914E1"/>
    <w:rsid w:val="0029243D"/>
    <w:rsid w:val="002933B7"/>
    <w:rsid w:val="002942D1"/>
    <w:rsid w:val="00295BAF"/>
    <w:rsid w:val="00296356"/>
    <w:rsid w:val="002975BE"/>
    <w:rsid w:val="00297DCC"/>
    <w:rsid w:val="002A011C"/>
    <w:rsid w:val="002A07E1"/>
    <w:rsid w:val="002A09A5"/>
    <w:rsid w:val="002A0ACF"/>
    <w:rsid w:val="002A1DCC"/>
    <w:rsid w:val="002A271A"/>
    <w:rsid w:val="002A3590"/>
    <w:rsid w:val="002A51D4"/>
    <w:rsid w:val="002A5315"/>
    <w:rsid w:val="002A5421"/>
    <w:rsid w:val="002B4C6F"/>
    <w:rsid w:val="002B4F06"/>
    <w:rsid w:val="002B527F"/>
    <w:rsid w:val="002B54EC"/>
    <w:rsid w:val="002B714E"/>
    <w:rsid w:val="002C12B1"/>
    <w:rsid w:val="002C2EE5"/>
    <w:rsid w:val="002C3B7F"/>
    <w:rsid w:val="002C5DF1"/>
    <w:rsid w:val="002C73B1"/>
    <w:rsid w:val="002C75B9"/>
    <w:rsid w:val="002C7ECF"/>
    <w:rsid w:val="002D3BAB"/>
    <w:rsid w:val="002D4376"/>
    <w:rsid w:val="002D4B11"/>
    <w:rsid w:val="002D4CAB"/>
    <w:rsid w:val="002D4DB9"/>
    <w:rsid w:val="002D51FB"/>
    <w:rsid w:val="002D5C52"/>
    <w:rsid w:val="002D707C"/>
    <w:rsid w:val="002D71D6"/>
    <w:rsid w:val="002E06D7"/>
    <w:rsid w:val="002E0A01"/>
    <w:rsid w:val="002E1C64"/>
    <w:rsid w:val="002E6271"/>
    <w:rsid w:val="002E6345"/>
    <w:rsid w:val="002E6570"/>
    <w:rsid w:val="002E74B9"/>
    <w:rsid w:val="002E7569"/>
    <w:rsid w:val="002E7772"/>
    <w:rsid w:val="002E7827"/>
    <w:rsid w:val="002E7F99"/>
    <w:rsid w:val="002F0C15"/>
    <w:rsid w:val="002F1A86"/>
    <w:rsid w:val="002F2778"/>
    <w:rsid w:val="002F311A"/>
    <w:rsid w:val="002F330C"/>
    <w:rsid w:val="002F4BF0"/>
    <w:rsid w:val="002F4EFE"/>
    <w:rsid w:val="002F684B"/>
    <w:rsid w:val="002F7C19"/>
    <w:rsid w:val="002F7C96"/>
    <w:rsid w:val="002F7EF3"/>
    <w:rsid w:val="00300AA1"/>
    <w:rsid w:val="00300FB3"/>
    <w:rsid w:val="003015CD"/>
    <w:rsid w:val="00301E22"/>
    <w:rsid w:val="00302CA6"/>
    <w:rsid w:val="003037E3"/>
    <w:rsid w:val="00303923"/>
    <w:rsid w:val="003049F8"/>
    <w:rsid w:val="00304C32"/>
    <w:rsid w:val="00306164"/>
    <w:rsid w:val="0030618A"/>
    <w:rsid w:val="00310C67"/>
    <w:rsid w:val="0031223A"/>
    <w:rsid w:val="00312EFE"/>
    <w:rsid w:val="00317899"/>
    <w:rsid w:val="00320325"/>
    <w:rsid w:val="00320821"/>
    <w:rsid w:val="00322368"/>
    <w:rsid w:val="0032257A"/>
    <w:rsid w:val="003235A5"/>
    <w:rsid w:val="00323EAD"/>
    <w:rsid w:val="00324F37"/>
    <w:rsid w:val="00326062"/>
    <w:rsid w:val="00326C2F"/>
    <w:rsid w:val="00331151"/>
    <w:rsid w:val="003313C4"/>
    <w:rsid w:val="003337B6"/>
    <w:rsid w:val="0033602B"/>
    <w:rsid w:val="00341CF4"/>
    <w:rsid w:val="00341DDA"/>
    <w:rsid w:val="0035055B"/>
    <w:rsid w:val="00350C50"/>
    <w:rsid w:val="00350DB3"/>
    <w:rsid w:val="00353341"/>
    <w:rsid w:val="00354A18"/>
    <w:rsid w:val="00355EBA"/>
    <w:rsid w:val="00355EC4"/>
    <w:rsid w:val="003575D7"/>
    <w:rsid w:val="00357865"/>
    <w:rsid w:val="00357C58"/>
    <w:rsid w:val="003611FE"/>
    <w:rsid w:val="00361BAD"/>
    <w:rsid w:val="00364EE4"/>
    <w:rsid w:val="003659C5"/>
    <w:rsid w:val="00366A2B"/>
    <w:rsid w:val="00366BB9"/>
    <w:rsid w:val="00372DB6"/>
    <w:rsid w:val="003730D7"/>
    <w:rsid w:val="0037504F"/>
    <w:rsid w:val="00376CCC"/>
    <w:rsid w:val="00381CA0"/>
    <w:rsid w:val="003921D5"/>
    <w:rsid w:val="0039250F"/>
    <w:rsid w:val="00393705"/>
    <w:rsid w:val="003943C6"/>
    <w:rsid w:val="00394642"/>
    <w:rsid w:val="00394BC6"/>
    <w:rsid w:val="00395DCA"/>
    <w:rsid w:val="00396F9F"/>
    <w:rsid w:val="00397FBF"/>
    <w:rsid w:val="003A003C"/>
    <w:rsid w:val="003A0262"/>
    <w:rsid w:val="003A158C"/>
    <w:rsid w:val="003A17AE"/>
    <w:rsid w:val="003A1EEB"/>
    <w:rsid w:val="003A233C"/>
    <w:rsid w:val="003A29C6"/>
    <w:rsid w:val="003A2C58"/>
    <w:rsid w:val="003A3DE6"/>
    <w:rsid w:val="003A4827"/>
    <w:rsid w:val="003A483F"/>
    <w:rsid w:val="003A5D2D"/>
    <w:rsid w:val="003A7BB7"/>
    <w:rsid w:val="003B12D5"/>
    <w:rsid w:val="003B50B5"/>
    <w:rsid w:val="003B53D8"/>
    <w:rsid w:val="003B5D47"/>
    <w:rsid w:val="003B7134"/>
    <w:rsid w:val="003C02F9"/>
    <w:rsid w:val="003C081F"/>
    <w:rsid w:val="003C2ADC"/>
    <w:rsid w:val="003C4858"/>
    <w:rsid w:val="003C4A78"/>
    <w:rsid w:val="003C50B7"/>
    <w:rsid w:val="003D1100"/>
    <w:rsid w:val="003D2037"/>
    <w:rsid w:val="003D2D80"/>
    <w:rsid w:val="003D41A4"/>
    <w:rsid w:val="003D5DC4"/>
    <w:rsid w:val="003D742E"/>
    <w:rsid w:val="003D7E66"/>
    <w:rsid w:val="003E01A8"/>
    <w:rsid w:val="003E0ADE"/>
    <w:rsid w:val="003E2612"/>
    <w:rsid w:val="003E38B4"/>
    <w:rsid w:val="003E3BAB"/>
    <w:rsid w:val="003E48B4"/>
    <w:rsid w:val="003E626C"/>
    <w:rsid w:val="003E7A54"/>
    <w:rsid w:val="003F048F"/>
    <w:rsid w:val="003F0943"/>
    <w:rsid w:val="003F30B0"/>
    <w:rsid w:val="003F35DF"/>
    <w:rsid w:val="003F3F1D"/>
    <w:rsid w:val="003F695A"/>
    <w:rsid w:val="00400660"/>
    <w:rsid w:val="00401588"/>
    <w:rsid w:val="00406894"/>
    <w:rsid w:val="0040726A"/>
    <w:rsid w:val="00410201"/>
    <w:rsid w:val="00410FA7"/>
    <w:rsid w:val="00412F7D"/>
    <w:rsid w:val="004143F0"/>
    <w:rsid w:val="004146C0"/>
    <w:rsid w:val="00420632"/>
    <w:rsid w:val="004208E1"/>
    <w:rsid w:val="004221FA"/>
    <w:rsid w:val="00423DA6"/>
    <w:rsid w:val="00424CC2"/>
    <w:rsid w:val="00427461"/>
    <w:rsid w:val="00427613"/>
    <w:rsid w:val="00432A1D"/>
    <w:rsid w:val="00433832"/>
    <w:rsid w:val="00434610"/>
    <w:rsid w:val="0043533D"/>
    <w:rsid w:val="00435AAA"/>
    <w:rsid w:val="00437943"/>
    <w:rsid w:val="00437D5A"/>
    <w:rsid w:val="004406D8"/>
    <w:rsid w:val="00441002"/>
    <w:rsid w:val="00442BF7"/>
    <w:rsid w:val="00442E74"/>
    <w:rsid w:val="00443E01"/>
    <w:rsid w:val="00444C11"/>
    <w:rsid w:val="00446EF6"/>
    <w:rsid w:val="004507D0"/>
    <w:rsid w:val="00451458"/>
    <w:rsid w:val="00452FA9"/>
    <w:rsid w:val="004549F3"/>
    <w:rsid w:val="00456830"/>
    <w:rsid w:val="00456AF8"/>
    <w:rsid w:val="00457927"/>
    <w:rsid w:val="00462482"/>
    <w:rsid w:val="00462759"/>
    <w:rsid w:val="00462822"/>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A20F7"/>
    <w:rsid w:val="004A6B63"/>
    <w:rsid w:val="004B121D"/>
    <w:rsid w:val="004B1A59"/>
    <w:rsid w:val="004B3714"/>
    <w:rsid w:val="004B387C"/>
    <w:rsid w:val="004B3915"/>
    <w:rsid w:val="004B5A8F"/>
    <w:rsid w:val="004B5CA0"/>
    <w:rsid w:val="004C0592"/>
    <w:rsid w:val="004C07FD"/>
    <w:rsid w:val="004C0ECC"/>
    <w:rsid w:val="004C129B"/>
    <w:rsid w:val="004C228D"/>
    <w:rsid w:val="004C28A4"/>
    <w:rsid w:val="004C2C55"/>
    <w:rsid w:val="004C35F2"/>
    <w:rsid w:val="004C39BD"/>
    <w:rsid w:val="004C3BF5"/>
    <w:rsid w:val="004C4B23"/>
    <w:rsid w:val="004C56C6"/>
    <w:rsid w:val="004D084A"/>
    <w:rsid w:val="004D1403"/>
    <w:rsid w:val="004D1BA4"/>
    <w:rsid w:val="004D27BF"/>
    <w:rsid w:val="004D2C41"/>
    <w:rsid w:val="004D2F15"/>
    <w:rsid w:val="004D4D04"/>
    <w:rsid w:val="004E01BD"/>
    <w:rsid w:val="004E2181"/>
    <w:rsid w:val="004E4D46"/>
    <w:rsid w:val="004E5659"/>
    <w:rsid w:val="004E585F"/>
    <w:rsid w:val="004F0663"/>
    <w:rsid w:val="004F166C"/>
    <w:rsid w:val="004F1F42"/>
    <w:rsid w:val="004F3D74"/>
    <w:rsid w:val="004F60BB"/>
    <w:rsid w:val="004F7590"/>
    <w:rsid w:val="00500B91"/>
    <w:rsid w:val="00501E2D"/>
    <w:rsid w:val="00503D35"/>
    <w:rsid w:val="00504551"/>
    <w:rsid w:val="005050BD"/>
    <w:rsid w:val="005071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818"/>
    <w:rsid w:val="00527A31"/>
    <w:rsid w:val="005308D6"/>
    <w:rsid w:val="00530ED0"/>
    <w:rsid w:val="00531810"/>
    <w:rsid w:val="00532006"/>
    <w:rsid w:val="0053459F"/>
    <w:rsid w:val="005413BA"/>
    <w:rsid w:val="00541FC8"/>
    <w:rsid w:val="00543D57"/>
    <w:rsid w:val="00544FEB"/>
    <w:rsid w:val="00545E96"/>
    <w:rsid w:val="00546564"/>
    <w:rsid w:val="0055181C"/>
    <w:rsid w:val="00551F16"/>
    <w:rsid w:val="00552334"/>
    <w:rsid w:val="00554029"/>
    <w:rsid w:val="00555B25"/>
    <w:rsid w:val="0055685D"/>
    <w:rsid w:val="00557181"/>
    <w:rsid w:val="005572B9"/>
    <w:rsid w:val="0055776D"/>
    <w:rsid w:val="005624FD"/>
    <w:rsid w:val="0056270F"/>
    <w:rsid w:val="00565945"/>
    <w:rsid w:val="00572100"/>
    <w:rsid w:val="005725B0"/>
    <w:rsid w:val="00573A43"/>
    <w:rsid w:val="00575D79"/>
    <w:rsid w:val="0057632B"/>
    <w:rsid w:val="00581057"/>
    <w:rsid w:val="0058391F"/>
    <w:rsid w:val="00583B43"/>
    <w:rsid w:val="00584C6C"/>
    <w:rsid w:val="00585034"/>
    <w:rsid w:val="00586098"/>
    <w:rsid w:val="00590021"/>
    <w:rsid w:val="005918BB"/>
    <w:rsid w:val="005936C5"/>
    <w:rsid w:val="00594D84"/>
    <w:rsid w:val="005950ED"/>
    <w:rsid w:val="005957E2"/>
    <w:rsid w:val="005A03F4"/>
    <w:rsid w:val="005A07CF"/>
    <w:rsid w:val="005A0C17"/>
    <w:rsid w:val="005A1055"/>
    <w:rsid w:val="005A2FA9"/>
    <w:rsid w:val="005A383F"/>
    <w:rsid w:val="005A563D"/>
    <w:rsid w:val="005A5770"/>
    <w:rsid w:val="005A583B"/>
    <w:rsid w:val="005B2746"/>
    <w:rsid w:val="005B33D2"/>
    <w:rsid w:val="005B43C4"/>
    <w:rsid w:val="005B492F"/>
    <w:rsid w:val="005B4F10"/>
    <w:rsid w:val="005B4F61"/>
    <w:rsid w:val="005B4FA7"/>
    <w:rsid w:val="005B5005"/>
    <w:rsid w:val="005B5BFF"/>
    <w:rsid w:val="005B61DE"/>
    <w:rsid w:val="005C34F6"/>
    <w:rsid w:val="005C54C8"/>
    <w:rsid w:val="005C5B45"/>
    <w:rsid w:val="005D0BD0"/>
    <w:rsid w:val="005D37EF"/>
    <w:rsid w:val="005D3D38"/>
    <w:rsid w:val="005D40A9"/>
    <w:rsid w:val="005D4649"/>
    <w:rsid w:val="005D47BF"/>
    <w:rsid w:val="005D4E78"/>
    <w:rsid w:val="005D5660"/>
    <w:rsid w:val="005D5CC4"/>
    <w:rsid w:val="005D61BA"/>
    <w:rsid w:val="005D6A8D"/>
    <w:rsid w:val="005D73DA"/>
    <w:rsid w:val="005E0299"/>
    <w:rsid w:val="005E02DC"/>
    <w:rsid w:val="005E111E"/>
    <w:rsid w:val="005E1A8C"/>
    <w:rsid w:val="005E4B76"/>
    <w:rsid w:val="005F0946"/>
    <w:rsid w:val="005F0DF3"/>
    <w:rsid w:val="005F1371"/>
    <w:rsid w:val="005F241D"/>
    <w:rsid w:val="005F2933"/>
    <w:rsid w:val="00600E3B"/>
    <w:rsid w:val="00604F35"/>
    <w:rsid w:val="0061041D"/>
    <w:rsid w:val="00613D08"/>
    <w:rsid w:val="006140C9"/>
    <w:rsid w:val="0061580A"/>
    <w:rsid w:val="00615A6F"/>
    <w:rsid w:val="00616B88"/>
    <w:rsid w:val="006178D1"/>
    <w:rsid w:val="00620B84"/>
    <w:rsid w:val="00621AEF"/>
    <w:rsid w:val="0062228A"/>
    <w:rsid w:val="00624195"/>
    <w:rsid w:val="00625491"/>
    <w:rsid w:val="00626D0B"/>
    <w:rsid w:val="00627C8B"/>
    <w:rsid w:val="006318C5"/>
    <w:rsid w:val="00633162"/>
    <w:rsid w:val="00633E45"/>
    <w:rsid w:val="00634DA7"/>
    <w:rsid w:val="00636455"/>
    <w:rsid w:val="0064105F"/>
    <w:rsid w:val="00643339"/>
    <w:rsid w:val="00644905"/>
    <w:rsid w:val="00646C91"/>
    <w:rsid w:val="00647067"/>
    <w:rsid w:val="00650983"/>
    <w:rsid w:val="00651965"/>
    <w:rsid w:val="00651A4E"/>
    <w:rsid w:val="006524BA"/>
    <w:rsid w:val="00653FF3"/>
    <w:rsid w:val="00654756"/>
    <w:rsid w:val="00654A68"/>
    <w:rsid w:val="00655DB4"/>
    <w:rsid w:val="00657728"/>
    <w:rsid w:val="0066004D"/>
    <w:rsid w:val="006604B6"/>
    <w:rsid w:val="006622D9"/>
    <w:rsid w:val="00663AED"/>
    <w:rsid w:val="006645C7"/>
    <w:rsid w:val="00665D87"/>
    <w:rsid w:val="006679CA"/>
    <w:rsid w:val="00667CFB"/>
    <w:rsid w:val="006702F6"/>
    <w:rsid w:val="0067307C"/>
    <w:rsid w:val="0067313E"/>
    <w:rsid w:val="00673C2D"/>
    <w:rsid w:val="00674F4F"/>
    <w:rsid w:val="006757AD"/>
    <w:rsid w:val="00676DE0"/>
    <w:rsid w:val="006806AF"/>
    <w:rsid w:val="006841CB"/>
    <w:rsid w:val="00684A0A"/>
    <w:rsid w:val="00686490"/>
    <w:rsid w:val="00686603"/>
    <w:rsid w:val="0068672B"/>
    <w:rsid w:val="00690260"/>
    <w:rsid w:val="006908C9"/>
    <w:rsid w:val="006908D2"/>
    <w:rsid w:val="006931D3"/>
    <w:rsid w:val="0069387C"/>
    <w:rsid w:val="00694B46"/>
    <w:rsid w:val="00697F8D"/>
    <w:rsid w:val="006A0389"/>
    <w:rsid w:val="006A13AD"/>
    <w:rsid w:val="006A2A95"/>
    <w:rsid w:val="006A3032"/>
    <w:rsid w:val="006A4A5F"/>
    <w:rsid w:val="006A6962"/>
    <w:rsid w:val="006A7426"/>
    <w:rsid w:val="006A7985"/>
    <w:rsid w:val="006B0634"/>
    <w:rsid w:val="006B2247"/>
    <w:rsid w:val="006B291D"/>
    <w:rsid w:val="006B4473"/>
    <w:rsid w:val="006B509A"/>
    <w:rsid w:val="006B594B"/>
    <w:rsid w:val="006B5E98"/>
    <w:rsid w:val="006C0012"/>
    <w:rsid w:val="006C0502"/>
    <w:rsid w:val="006C17D4"/>
    <w:rsid w:val="006C2BE4"/>
    <w:rsid w:val="006C3381"/>
    <w:rsid w:val="006C57DD"/>
    <w:rsid w:val="006D1182"/>
    <w:rsid w:val="006D3B75"/>
    <w:rsid w:val="006D5305"/>
    <w:rsid w:val="006D6015"/>
    <w:rsid w:val="006D6465"/>
    <w:rsid w:val="006D723E"/>
    <w:rsid w:val="006D7545"/>
    <w:rsid w:val="006D7B16"/>
    <w:rsid w:val="006E1AEF"/>
    <w:rsid w:val="006E270C"/>
    <w:rsid w:val="006E6655"/>
    <w:rsid w:val="006E7A40"/>
    <w:rsid w:val="006F1CD4"/>
    <w:rsid w:val="006F2146"/>
    <w:rsid w:val="006F2AEC"/>
    <w:rsid w:val="006F51AA"/>
    <w:rsid w:val="00700A4B"/>
    <w:rsid w:val="00701855"/>
    <w:rsid w:val="00703212"/>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26D46"/>
    <w:rsid w:val="007313C0"/>
    <w:rsid w:val="00733319"/>
    <w:rsid w:val="007334B5"/>
    <w:rsid w:val="00736205"/>
    <w:rsid w:val="00737B4A"/>
    <w:rsid w:val="007419E5"/>
    <w:rsid w:val="00742101"/>
    <w:rsid w:val="007422B1"/>
    <w:rsid w:val="00742522"/>
    <w:rsid w:val="00745075"/>
    <w:rsid w:val="0074572E"/>
    <w:rsid w:val="00745C1C"/>
    <w:rsid w:val="007465D3"/>
    <w:rsid w:val="00747CB4"/>
    <w:rsid w:val="00750D18"/>
    <w:rsid w:val="00751F63"/>
    <w:rsid w:val="007548BE"/>
    <w:rsid w:val="007556D7"/>
    <w:rsid w:val="00755767"/>
    <w:rsid w:val="007557B8"/>
    <w:rsid w:val="00755A7A"/>
    <w:rsid w:val="00756A08"/>
    <w:rsid w:val="0075785A"/>
    <w:rsid w:val="0076183B"/>
    <w:rsid w:val="00761F0F"/>
    <w:rsid w:val="007623E4"/>
    <w:rsid w:val="0076261B"/>
    <w:rsid w:val="00762B4D"/>
    <w:rsid w:val="00762EB4"/>
    <w:rsid w:val="00763A35"/>
    <w:rsid w:val="00764DD5"/>
    <w:rsid w:val="00766DEB"/>
    <w:rsid w:val="007678E6"/>
    <w:rsid w:val="00770461"/>
    <w:rsid w:val="00774503"/>
    <w:rsid w:val="007750AE"/>
    <w:rsid w:val="0077570A"/>
    <w:rsid w:val="0077571E"/>
    <w:rsid w:val="00775A18"/>
    <w:rsid w:val="0077620B"/>
    <w:rsid w:val="0078167E"/>
    <w:rsid w:val="00785F4C"/>
    <w:rsid w:val="00790094"/>
    <w:rsid w:val="007901F7"/>
    <w:rsid w:val="00791C28"/>
    <w:rsid w:val="00791EA0"/>
    <w:rsid w:val="00792E30"/>
    <w:rsid w:val="0079490A"/>
    <w:rsid w:val="00794D4D"/>
    <w:rsid w:val="00795096"/>
    <w:rsid w:val="0079517A"/>
    <w:rsid w:val="0079578B"/>
    <w:rsid w:val="007959F5"/>
    <w:rsid w:val="00795D00"/>
    <w:rsid w:val="00796F20"/>
    <w:rsid w:val="007B0809"/>
    <w:rsid w:val="007B107C"/>
    <w:rsid w:val="007B11DC"/>
    <w:rsid w:val="007B1634"/>
    <w:rsid w:val="007B22A2"/>
    <w:rsid w:val="007B272D"/>
    <w:rsid w:val="007B419C"/>
    <w:rsid w:val="007B4346"/>
    <w:rsid w:val="007B492B"/>
    <w:rsid w:val="007B50C6"/>
    <w:rsid w:val="007B5365"/>
    <w:rsid w:val="007B5C68"/>
    <w:rsid w:val="007B6F92"/>
    <w:rsid w:val="007C0BD6"/>
    <w:rsid w:val="007C3072"/>
    <w:rsid w:val="007C3F1D"/>
    <w:rsid w:val="007D0AD4"/>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32F"/>
    <w:rsid w:val="00810453"/>
    <w:rsid w:val="00811626"/>
    <w:rsid w:val="008136BE"/>
    <w:rsid w:val="008152B7"/>
    <w:rsid w:val="00816C11"/>
    <w:rsid w:val="00817125"/>
    <w:rsid w:val="008171F1"/>
    <w:rsid w:val="0082264C"/>
    <w:rsid w:val="00822F0D"/>
    <w:rsid w:val="0082397E"/>
    <w:rsid w:val="00823C4D"/>
    <w:rsid w:val="0082638D"/>
    <w:rsid w:val="00827384"/>
    <w:rsid w:val="008279C6"/>
    <w:rsid w:val="00831483"/>
    <w:rsid w:val="008318DA"/>
    <w:rsid w:val="0083356F"/>
    <w:rsid w:val="00833894"/>
    <w:rsid w:val="00833DE4"/>
    <w:rsid w:val="00834B07"/>
    <w:rsid w:val="00834E9E"/>
    <w:rsid w:val="00834FC7"/>
    <w:rsid w:val="00840677"/>
    <w:rsid w:val="00841160"/>
    <w:rsid w:val="00841DCC"/>
    <w:rsid w:val="00841F52"/>
    <w:rsid w:val="008433B6"/>
    <w:rsid w:val="00843A8B"/>
    <w:rsid w:val="00844315"/>
    <w:rsid w:val="008444FC"/>
    <w:rsid w:val="00845357"/>
    <w:rsid w:val="00845C8C"/>
    <w:rsid w:val="00847C11"/>
    <w:rsid w:val="00847C99"/>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117B"/>
    <w:rsid w:val="008822AB"/>
    <w:rsid w:val="00883DCB"/>
    <w:rsid w:val="00884249"/>
    <w:rsid w:val="00885A97"/>
    <w:rsid w:val="00885D89"/>
    <w:rsid w:val="00887CD8"/>
    <w:rsid w:val="00890786"/>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523"/>
    <w:rsid w:val="008B15D0"/>
    <w:rsid w:val="008B1627"/>
    <w:rsid w:val="008B2687"/>
    <w:rsid w:val="008B2777"/>
    <w:rsid w:val="008B368F"/>
    <w:rsid w:val="008B39AE"/>
    <w:rsid w:val="008B3E67"/>
    <w:rsid w:val="008B7004"/>
    <w:rsid w:val="008C0247"/>
    <w:rsid w:val="008C03E9"/>
    <w:rsid w:val="008C062B"/>
    <w:rsid w:val="008C090F"/>
    <w:rsid w:val="008C0BF7"/>
    <w:rsid w:val="008C186E"/>
    <w:rsid w:val="008C252E"/>
    <w:rsid w:val="008C4513"/>
    <w:rsid w:val="008C5B5B"/>
    <w:rsid w:val="008C63DE"/>
    <w:rsid w:val="008C70FF"/>
    <w:rsid w:val="008C7B1B"/>
    <w:rsid w:val="008D11BD"/>
    <w:rsid w:val="008D1C79"/>
    <w:rsid w:val="008D2BFB"/>
    <w:rsid w:val="008D34C7"/>
    <w:rsid w:val="008D3A40"/>
    <w:rsid w:val="008D46B1"/>
    <w:rsid w:val="008D572B"/>
    <w:rsid w:val="008D5B2B"/>
    <w:rsid w:val="008D61F3"/>
    <w:rsid w:val="008E14F8"/>
    <w:rsid w:val="008E1D29"/>
    <w:rsid w:val="008E429A"/>
    <w:rsid w:val="008E485B"/>
    <w:rsid w:val="008F04DF"/>
    <w:rsid w:val="008F0D28"/>
    <w:rsid w:val="008F1EEF"/>
    <w:rsid w:val="008F2883"/>
    <w:rsid w:val="008F4EAB"/>
    <w:rsid w:val="008F6C86"/>
    <w:rsid w:val="00902FBD"/>
    <w:rsid w:val="00905A31"/>
    <w:rsid w:val="00906895"/>
    <w:rsid w:val="00906E7D"/>
    <w:rsid w:val="00907DED"/>
    <w:rsid w:val="009114BA"/>
    <w:rsid w:val="00911E78"/>
    <w:rsid w:val="009124C0"/>
    <w:rsid w:val="00912E64"/>
    <w:rsid w:val="00914337"/>
    <w:rsid w:val="00914570"/>
    <w:rsid w:val="00914A7E"/>
    <w:rsid w:val="00915098"/>
    <w:rsid w:val="0091659A"/>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05D"/>
    <w:rsid w:val="00945310"/>
    <w:rsid w:val="00945855"/>
    <w:rsid w:val="00945EB3"/>
    <w:rsid w:val="00946790"/>
    <w:rsid w:val="00946A1E"/>
    <w:rsid w:val="00947C83"/>
    <w:rsid w:val="00951364"/>
    <w:rsid w:val="00953C42"/>
    <w:rsid w:val="009550DE"/>
    <w:rsid w:val="00960850"/>
    <w:rsid w:val="00960ED8"/>
    <w:rsid w:val="00961399"/>
    <w:rsid w:val="00961E77"/>
    <w:rsid w:val="0096437B"/>
    <w:rsid w:val="009651BB"/>
    <w:rsid w:val="00965B92"/>
    <w:rsid w:val="00966865"/>
    <w:rsid w:val="009671D8"/>
    <w:rsid w:val="0097403B"/>
    <w:rsid w:val="009749E8"/>
    <w:rsid w:val="00974D15"/>
    <w:rsid w:val="00975AD3"/>
    <w:rsid w:val="00980ADE"/>
    <w:rsid w:val="009822A0"/>
    <w:rsid w:val="00982E60"/>
    <w:rsid w:val="00985082"/>
    <w:rsid w:val="009852E7"/>
    <w:rsid w:val="009858E2"/>
    <w:rsid w:val="00987BC1"/>
    <w:rsid w:val="00991DAD"/>
    <w:rsid w:val="00992D05"/>
    <w:rsid w:val="00993579"/>
    <w:rsid w:val="0099377B"/>
    <w:rsid w:val="009941DF"/>
    <w:rsid w:val="00995160"/>
    <w:rsid w:val="00995D60"/>
    <w:rsid w:val="0099636A"/>
    <w:rsid w:val="009A0DE7"/>
    <w:rsid w:val="009A153A"/>
    <w:rsid w:val="009A17AF"/>
    <w:rsid w:val="009A36AA"/>
    <w:rsid w:val="009A3D07"/>
    <w:rsid w:val="009A4016"/>
    <w:rsid w:val="009A5D14"/>
    <w:rsid w:val="009A7B28"/>
    <w:rsid w:val="009B06DC"/>
    <w:rsid w:val="009B1095"/>
    <w:rsid w:val="009B19A9"/>
    <w:rsid w:val="009B21F1"/>
    <w:rsid w:val="009B3B0E"/>
    <w:rsid w:val="009B4384"/>
    <w:rsid w:val="009B6B04"/>
    <w:rsid w:val="009B6F38"/>
    <w:rsid w:val="009C261A"/>
    <w:rsid w:val="009C5D2D"/>
    <w:rsid w:val="009C6038"/>
    <w:rsid w:val="009C74E7"/>
    <w:rsid w:val="009D002E"/>
    <w:rsid w:val="009D10AC"/>
    <w:rsid w:val="009D3C38"/>
    <w:rsid w:val="009D4E23"/>
    <w:rsid w:val="009D5131"/>
    <w:rsid w:val="009D5471"/>
    <w:rsid w:val="009D5D1B"/>
    <w:rsid w:val="009D6A15"/>
    <w:rsid w:val="009E113B"/>
    <w:rsid w:val="009E2A37"/>
    <w:rsid w:val="009E4087"/>
    <w:rsid w:val="009F0B7F"/>
    <w:rsid w:val="009F13BE"/>
    <w:rsid w:val="009F330C"/>
    <w:rsid w:val="009F76CE"/>
    <w:rsid w:val="00A00E17"/>
    <w:rsid w:val="00A00E90"/>
    <w:rsid w:val="00A014A3"/>
    <w:rsid w:val="00A014E4"/>
    <w:rsid w:val="00A01998"/>
    <w:rsid w:val="00A04E3C"/>
    <w:rsid w:val="00A07D1E"/>
    <w:rsid w:val="00A10136"/>
    <w:rsid w:val="00A10669"/>
    <w:rsid w:val="00A12A29"/>
    <w:rsid w:val="00A14A01"/>
    <w:rsid w:val="00A14ACE"/>
    <w:rsid w:val="00A17AAF"/>
    <w:rsid w:val="00A201F5"/>
    <w:rsid w:val="00A20960"/>
    <w:rsid w:val="00A20BA2"/>
    <w:rsid w:val="00A20C7B"/>
    <w:rsid w:val="00A20E50"/>
    <w:rsid w:val="00A225AE"/>
    <w:rsid w:val="00A24874"/>
    <w:rsid w:val="00A24DED"/>
    <w:rsid w:val="00A25093"/>
    <w:rsid w:val="00A26E2A"/>
    <w:rsid w:val="00A3069D"/>
    <w:rsid w:val="00A320E8"/>
    <w:rsid w:val="00A32F80"/>
    <w:rsid w:val="00A3560D"/>
    <w:rsid w:val="00A35CEA"/>
    <w:rsid w:val="00A42E22"/>
    <w:rsid w:val="00A43EF2"/>
    <w:rsid w:val="00A44C91"/>
    <w:rsid w:val="00A46FE8"/>
    <w:rsid w:val="00A47908"/>
    <w:rsid w:val="00A5125C"/>
    <w:rsid w:val="00A513AE"/>
    <w:rsid w:val="00A513CF"/>
    <w:rsid w:val="00A51A75"/>
    <w:rsid w:val="00A51E99"/>
    <w:rsid w:val="00A52A8A"/>
    <w:rsid w:val="00A53D12"/>
    <w:rsid w:val="00A53EDC"/>
    <w:rsid w:val="00A54096"/>
    <w:rsid w:val="00A547F9"/>
    <w:rsid w:val="00A60D89"/>
    <w:rsid w:val="00A60DAC"/>
    <w:rsid w:val="00A615EF"/>
    <w:rsid w:val="00A6301E"/>
    <w:rsid w:val="00A67B4A"/>
    <w:rsid w:val="00A71795"/>
    <w:rsid w:val="00A72484"/>
    <w:rsid w:val="00A72753"/>
    <w:rsid w:val="00A73B32"/>
    <w:rsid w:val="00A73EF5"/>
    <w:rsid w:val="00A76977"/>
    <w:rsid w:val="00A77FBF"/>
    <w:rsid w:val="00A80DAE"/>
    <w:rsid w:val="00A811C1"/>
    <w:rsid w:val="00A84C7F"/>
    <w:rsid w:val="00A85DFC"/>
    <w:rsid w:val="00A86177"/>
    <w:rsid w:val="00A86724"/>
    <w:rsid w:val="00A87C24"/>
    <w:rsid w:val="00A90C2D"/>
    <w:rsid w:val="00A91444"/>
    <w:rsid w:val="00A91925"/>
    <w:rsid w:val="00A923BC"/>
    <w:rsid w:val="00A92A5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76B1"/>
    <w:rsid w:val="00AB7A3D"/>
    <w:rsid w:val="00AC0544"/>
    <w:rsid w:val="00AC0978"/>
    <w:rsid w:val="00AC37FB"/>
    <w:rsid w:val="00AC3DCC"/>
    <w:rsid w:val="00AC4243"/>
    <w:rsid w:val="00AC4352"/>
    <w:rsid w:val="00AC5F1D"/>
    <w:rsid w:val="00AD0766"/>
    <w:rsid w:val="00AD0983"/>
    <w:rsid w:val="00AD10E8"/>
    <w:rsid w:val="00AD2AE8"/>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6543"/>
    <w:rsid w:val="00AE7CC9"/>
    <w:rsid w:val="00AF2AAA"/>
    <w:rsid w:val="00AF52CB"/>
    <w:rsid w:val="00AF675A"/>
    <w:rsid w:val="00AF68D7"/>
    <w:rsid w:val="00B00009"/>
    <w:rsid w:val="00B00B2F"/>
    <w:rsid w:val="00B01059"/>
    <w:rsid w:val="00B018EF"/>
    <w:rsid w:val="00B019CA"/>
    <w:rsid w:val="00B023A3"/>
    <w:rsid w:val="00B026F0"/>
    <w:rsid w:val="00B029DE"/>
    <w:rsid w:val="00B0328E"/>
    <w:rsid w:val="00B04428"/>
    <w:rsid w:val="00B047C7"/>
    <w:rsid w:val="00B04DCE"/>
    <w:rsid w:val="00B05656"/>
    <w:rsid w:val="00B11666"/>
    <w:rsid w:val="00B129BF"/>
    <w:rsid w:val="00B14857"/>
    <w:rsid w:val="00B151FD"/>
    <w:rsid w:val="00B1549E"/>
    <w:rsid w:val="00B165FD"/>
    <w:rsid w:val="00B20950"/>
    <w:rsid w:val="00B2176A"/>
    <w:rsid w:val="00B21A9A"/>
    <w:rsid w:val="00B21BD2"/>
    <w:rsid w:val="00B25DF9"/>
    <w:rsid w:val="00B26411"/>
    <w:rsid w:val="00B267C2"/>
    <w:rsid w:val="00B26C78"/>
    <w:rsid w:val="00B3107B"/>
    <w:rsid w:val="00B31A5C"/>
    <w:rsid w:val="00B32C7C"/>
    <w:rsid w:val="00B337A2"/>
    <w:rsid w:val="00B35280"/>
    <w:rsid w:val="00B3555B"/>
    <w:rsid w:val="00B35A25"/>
    <w:rsid w:val="00B36410"/>
    <w:rsid w:val="00B36C9C"/>
    <w:rsid w:val="00B375E9"/>
    <w:rsid w:val="00B37779"/>
    <w:rsid w:val="00B4395A"/>
    <w:rsid w:val="00B43EF9"/>
    <w:rsid w:val="00B445A3"/>
    <w:rsid w:val="00B46039"/>
    <w:rsid w:val="00B465A4"/>
    <w:rsid w:val="00B46F1D"/>
    <w:rsid w:val="00B50370"/>
    <w:rsid w:val="00B513D9"/>
    <w:rsid w:val="00B523FA"/>
    <w:rsid w:val="00B52982"/>
    <w:rsid w:val="00B52B5E"/>
    <w:rsid w:val="00B53231"/>
    <w:rsid w:val="00B558F6"/>
    <w:rsid w:val="00B57AD5"/>
    <w:rsid w:val="00B61937"/>
    <w:rsid w:val="00B61D1B"/>
    <w:rsid w:val="00B61E8D"/>
    <w:rsid w:val="00B61EB1"/>
    <w:rsid w:val="00B621F7"/>
    <w:rsid w:val="00B64D6A"/>
    <w:rsid w:val="00B67888"/>
    <w:rsid w:val="00B72AD5"/>
    <w:rsid w:val="00B72E05"/>
    <w:rsid w:val="00B734C9"/>
    <w:rsid w:val="00B7777D"/>
    <w:rsid w:val="00B77AB7"/>
    <w:rsid w:val="00B77F02"/>
    <w:rsid w:val="00B80273"/>
    <w:rsid w:val="00B8115D"/>
    <w:rsid w:val="00B81A98"/>
    <w:rsid w:val="00B82595"/>
    <w:rsid w:val="00B84852"/>
    <w:rsid w:val="00B85014"/>
    <w:rsid w:val="00B86769"/>
    <w:rsid w:val="00B9023B"/>
    <w:rsid w:val="00B93068"/>
    <w:rsid w:val="00B94E41"/>
    <w:rsid w:val="00B95923"/>
    <w:rsid w:val="00B9678F"/>
    <w:rsid w:val="00B97A3A"/>
    <w:rsid w:val="00B97A86"/>
    <w:rsid w:val="00BA098E"/>
    <w:rsid w:val="00BA0CC0"/>
    <w:rsid w:val="00BA15AA"/>
    <w:rsid w:val="00BA2A33"/>
    <w:rsid w:val="00BA2A54"/>
    <w:rsid w:val="00BA30AA"/>
    <w:rsid w:val="00BA3305"/>
    <w:rsid w:val="00BA3508"/>
    <w:rsid w:val="00BA3892"/>
    <w:rsid w:val="00BA3A01"/>
    <w:rsid w:val="00BA4DBA"/>
    <w:rsid w:val="00BA5B34"/>
    <w:rsid w:val="00BA5FCB"/>
    <w:rsid w:val="00BA6A5A"/>
    <w:rsid w:val="00BB03A5"/>
    <w:rsid w:val="00BB0871"/>
    <w:rsid w:val="00BB13CC"/>
    <w:rsid w:val="00BB2C03"/>
    <w:rsid w:val="00BB2F9D"/>
    <w:rsid w:val="00BB3D95"/>
    <w:rsid w:val="00BB4BF1"/>
    <w:rsid w:val="00BB5386"/>
    <w:rsid w:val="00BB5672"/>
    <w:rsid w:val="00BB5A08"/>
    <w:rsid w:val="00BB6293"/>
    <w:rsid w:val="00BB7D99"/>
    <w:rsid w:val="00BC0881"/>
    <w:rsid w:val="00BC5F8F"/>
    <w:rsid w:val="00BC691C"/>
    <w:rsid w:val="00BD0156"/>
    <w:rsid w:val="00BD1677"/>
    <w:rsid w:val="00BD52BA"/>
    <w:rsid w:val="00BD531B"/>
    <w:rsid w:val="00BD6198"/>
    <w:rsid w:val="00BD6D31"/>
    <w:rsid w:val="00BD7BD7"/>
    <w:rsid w:val="00BE0DA9"/>
    <w:rsid w:val="00BE1EC9"/>
    <w:rsid w:val="00BE6930"/>
    <w:rsid w:val="00BE7EA3"/>
    <w:rsid w:val="00BF08D7"/>
    <w:rsid w:val="00BF0D2E"/>
    <w:rsid w:val="00BF234D"/>
    <w:rsid w:val="00BF48EA"/>
    <w:rsid w:val="00BF4BAD"/>
    <w:rsid w:val="00BF50A0"/>
    <w:rsid w:val="00BF6113"/>
    <w:rsid w:val="00BF6AE9"/>
    <w:rsid w:val="00C000F8"/>
    <w:rsid w:val="00C006AA"/>
    <w:rsid w:val="00C02225"/>
    <w:rsid w:val="00C0324A"/>
    <w:rsid w:val="00C04692"/>
    <w:rsid w:val="00C04D75"/>
    <w:rsid w:val="00C053C1"/>
    <w:rsid w:val="00C05AD0"/>
    <w:rsid w:val="00C0605F"/>
    <w:rsid w:val="00C06952"/>
    <w:rsid w:val="00C07596"/>
    <w:rsid w:val="00C076D6"/>
    <w:rsid w:val="00C1077A"/>
    <w:rsid w:val="00C10C9B"/>
    <w:rsid w:val="00C11BA3"/>
    <w:rsid w:val="00C12244"/>
    <w:rsid w:val="00C12AF2"/>
    <w:rsid w:val="00C1455E"/>
    <w:rsid w:val="00C15369"/>
    <w:rsid w:val="00C154F1"/>
    <w:rsid w:val="00C15A32"/>
    <w:rsid w:val="00C17344"/>
    <w:rsid w:val="00C17D06"/>
    <w:rsid w:val="00C20096"/>
    <w:rsid w:val="00C209B5"/>
    <w:rsid w:val="00C2103E"/>
    <w:rsid w:val="00C226C8"/>
    <w:rsid w:val="00C2308A"/>
    <w:rsid w:val="00C23278"/>
    <w:rsid w:val="00C23C71"/>
    <w:rsid w:val="00C255CD"/>
    <w:rsid w:val="00C25E92"/>
    <w:rsid w:val="00C27093"/>
    <w:rsid w:val="00C27564"/>
    <w:rsid w:val="00C31E7B"/>
    <w:rsid w:val="00C32CAF"/>
    <w:rsid w:val="00C33E2F"/>
    <w:rsid w:val="00C34EB7"/>
    <w:rsid w:val="00C352D8"/>
    <w:rsid w:val="00C35D72"/>
    <w:rsid w:val="00C35D7E"/>
    <w:rsid w:val="00C3638E"/>
    <w:rsid w:val="00C36CC3"/>
    <w:rsid w:val="00C36DB9"/>
    <w:rsid w:val="00C42263"/>
    <w:rsid w:val="00C4489C"/>
    <w:rsid w:val="00C448F9"/>
    <w:rsid w:val="00C45F46"/>
    <w:rsid w:val="00C4655D"/>
    <w:rsid w:val="00C465CC"/>
    <w:rsid w:val="00C472AC"/>
    <w:rsid w:val="00C52643"/>
    <w:rsid w:val="00C538C8"/>
    <w:rsid w:val="00C53C39"/>
    <w:rsid w:val="00C5772F"/>
    <w:rsid w:val="00C57B8C"/>
    <w:rsid w:val="00C605F1"/>
    <w:rsid w:val="00C60DC1"/>
    <w:rsid w:val="00C61FD6"/>
    <w:rsid w:val="00C62698"/>
    <w:rsid w:val="00C672E4"/>
    <w:rsid w:val="00C67E21"/>
    <w:rsid w:val="00C7066D"/>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64B"/>
    <w:rsid w:val="00C82B35"/>
    <w:rsid w:val="00C82DE6"/>
    <w:rsid w:val="00C85EC6"/>
    <w:rsid w:val="00C86BD7"/>
    <w:rsid w:val="00C90FB6"/>
    <w:rsid w:val="00C911BF"/>
    <w:rsid w:val="00C913D8"/>
    <w:rsid w:val="00C91B90"/>
    <w:rsid w:val="00C91FB7"/>
    <w:rsid w:val="00C922A9"/>
    <w:rsid w:val="00C925B6"/>
    <w:rsid w:val="00C93BE2"/>
    <w:rsid w:val="00C93F01"/>
    <w:rsid w:val="00C954C1"/>
    <w:rsid w:val="00C9691A"/>
    <w:rsid w:val="00C9763C"/>
    <w:rsid w:val="00C976A6"/>
    <w:rsid w:val="00C97D28"/>
    <w:rsid w:val="00CA2725"/>
    <w:rsid w:val="00CA40AA"/>
    <w:rsid w:val="00CA40FA"/>
    <w:rsid w:val="00CA510B"/>
    <w:rsid w:val="00CA62CD"/>
    <w:rsid w:val="00CB17BC"/>
    <w:rsid w:val="00CB1C5B"/>
    <w:rsid w:val="00CB23A3"/>
    <w:rsid w:val="00CB24F1"/>
    <w:rsid w:val="00CB4A1D"/>
    <w:rsid w:val="00CB51F8"/>
    <w:rsid w:val="00CB5EC2"/>
    <w:rsid w:val="00CB7833"/>
    <w:rsid w:val="00CC2691"/>
    <w:rsid w:val="00CC2F63"/>
    <w:rsid w:val="00CC50AB"/>
    <w:rsid w:val="00CC5F6B"/>
    <w:rsid w:val="00CC7DC9"/>
    <w:rsid w:val="00CD0A19"/>
    <w:rsid w:val="00CD0ED9"/>
    <w:rsid w:val="00CD1009"/>
    <w:rsid w:val="00CD1EB7"/>
    <w:rsid w:val="00CD24B7"/>
    <w:rsid w:val="00CD32D2"/>
    <w:rsid w:val="00CD64F8"/>
    <w:rsid w:val="00CD67F2"/>
    <w:rsid w:val="00CD713F"/>
    <w:rsid w:val="00CE01D7"/>
    <w:rsid w:val="00CE0692"/>
    <w:rsid w:val="00CE09EE"/>
    <w:rsid w:val="00CE2A7D"/>
    <w:rsid w:val="00CE3E26"/>
    <w:rsid w:val="00CE50BB"/>
    <w:rsid w:val="00CE7432"/>
    <w:rsid w:val="00CE7978"/>
    <w:rsid w:val="00CE7E49"/>
    <w:rsid w:val="00CF34DF"/>
    <w:rsid w:val="00CF7360"/>
    <w:rsid w:val="00D00568"/>
    <w:rsid w:val="00D01A62"/>
    <w:rsid w:val="00D0269A"/>
    <w:rsid w:val="00D054F5"/>
    <w:rsid w:val="00D05AA5"/>
    <w:rsid w:val="00D105DF"/>
    <w:rsid w:val="00D11A30"/>
    <w:rsid w:val="00D124FC"/>
    <w:rsid w:val="00D13021"/>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374B"/>
    <w:rsid w:val="00D34BC3"/>
    <w:rsid w:val="00D34D7F"/>
    <w:rsid w:val="00D35C4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2CDF"/>
    <w:rsid w:val="00D660DA"/>
    <w:rsid w:val="00D67352"/>
    <w:rsid w:val="00D7094D"/>
    <w:rsid w:val="00D724FD"/>
    <w:rsid w:val="00D72B39"/>
    <w:rsid w:val="00D742FB"/>
    <w:rsid w:val="00D766A1"/>
    <w:rsid w:val="00D802A0"/>
    <w:rsid w:val="00D80815"/>
    <w:rsid w:val="00D81AF0"/>
    <w:rsid w:val="00D81FC0"/>
    <w:rsid w:val="00D82242"/>
    <w:rsid w:val="00D8252D"/>
    <w:rsid w:val="00D82A65"/>
    <w:rsid w:val="00D82FCF"/>
    <w:rsid w:val="00D83692"/>
    <w:rsid w:val="00D858DF"/>
    <w:rsid w:val="00D86F89"/>
    <w:rsid w:val="00D87852"/>
    <w:rsid w:val="00D87E45"/>
    <w:rsid w:val="00D940AF"/>
    <w:rsid w:val="00D948E9"/>
    <w:rsid w:val="00D96348"/>
    <w:rsid w:val="00D96CF9"/>
    <w:rsid w:val="00DA03EB"/>
    <w:rsid w:val="00DA06B7"/>
    <w:rsid w:val="00DA1A0B"/>
    <w:rsid w:val="00DA2028"/>
    <w:rsid w:val="00DA295A"/>
    <w:rsid w:val="00DA34A9"/>
    <w:rsid w:val="00DA39C1"/>
    <w:rsid w:val="00DA5A1A"/>
    <w:rsid w:val="00DA650E"/>
    <w:rsid w:val="00DB23A5"/>
    <w:rsid w:val="00DB3165"/>
    <w:rsid w:val="00DB4C7A"/>
    <w:rsid w:val="00DB665F"/>
    <w:rsid w:val="00DB6BBA"/>
    <w:rsid w:val="00DB74FF"/>
    <w:rsid w:val="00DC3CE2"/>
    <w:rsid w:val="00DC459E"/>
    <w:rsid w:val="00DC6235"/>
    <w:rsid w:val="00DC69A2"/>
    <w:rsid w:val="00DC6A89"/>
    <w:rsid w:val="00DD0B68"/>
    <w:rsid w:val="00DD0BD2"/>
    <w:rsid w:val="00DD1A61"/>
    <w:rsid w:val="00DD1F6F"/>
    <w:rsid w:val="00DD3147"/>
    <w:rsid w:val="00DD3590"/>
    <w:rsid w:val="00DD58AF"/>
    <w:rsid w:val="00DD78BC"/>
    <w:rsid w:val="00DD79D2"/>
    <w:rsid w:val="00DE0118"/>
    <w:rsid w:val="00DE0887"/>
    <w:rsid w:val="00DE10CF"/>
    <w:rsid w:val="00DE12E3"/>
    <w:rsid w:val="00DE3484"/>
    <w:rsid w:val="00DE4C3A"/>
    <w:rsid w:val="00DE4DC5"/>
    <w:rsid w:val="00DE50D1"/>
    <w:rsid w:val="00DE53BB"/>
    <w:rsid w:val="00DE5D7F"/>
    <w:rsid w:val="00DE5FF9"/>
    <w:rsid w:val="00DE6901"/>
    <w:rsid w:val="00DE6995"/>
    <w:rsid w:val="00DE787C"/>
    <w:rsid w:val="00DF035D"/>
    <w:rsid w:val="00DF07B9"/>
    <w:rsid w:val="00DF0A35"/>
    <w:rsid w:val="00DF0F0D"/>
    <w:rsid w:val="00DF167B"/>
    <w:rsid w:val="00DF47C3"/>
    <w:rsid w:val="00DF7373"/>
    <w:rsid w:val="00DF77D0"/>
    <w:rsid w:val="00E02253"/>
    <w:rsid w:val="00E0301C"/>
    <w:rsid w:val="00E07950"/>
    <w:rsid w:val="00E106FD"/>
    <w:rsid w:val="00E12354"/>
    <w:rsid w:val="00E126CC"/>
    <w:rsid w:val="00E13CC7"/>
    <w:rsid w:val="00E176BE"/>
    <w:rsid w:val="00E21BB7"/>
    <w:rsid w:val="00E23AA8"/>
    <w:rsid w:val="00E24842"/>
    <w:rsid w:val="00E26A7C"/>
    <w:rsid w:val="00E32091"/>
    <w:rsid w:val="00E33AB9"/>
    <w:rsid w:val="00E3403A"/>
    <w:rsid w:val="00E341A2"/>
    <w:rsid w:val="00E35B8D"/>
    <w:rsid w:val="00E36956"/>
    <w:rsid w:val="00E36EE8"/>
    <w:rsid w:val="00E3786C"/>
    <w:rsid w:val="00E40563"/>
    <w:rsid w:val="00E4208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57653"/>
    <w:rsid w:val="00E60463"/>
    <w:rsid w:val="00E60809"/>
    <w:rsid w:val="00E60D56"/>
    <w:rsid w:val="00E6435C"/>
    <w:rsid w:val="00E650F6"/>
    <w:rsid w:val="00E66D85"/>
    <w:rsid w:val="00E67F8B"/>
    <w:rsid w:val="00E706D9"/>
    <w:rsid w:val="00E72322"/>
    <w:rsid w:val="00E724D9"/>
    <w:rsid w:val="00E728E1"/>
    <w:rsid w:val="00E72C5D"/>
    <w:rsid w:val="00E744D6"/>
    <w:rsid w:val="00E75928"/>
    <w:rsid w:val="00E75BE4"/>
    <w:rsid w:val="00E765F0"/>
    <w:rsid w:val="00E771A2"/>
    <w:rsid w:val="00E77EB2"/>
    <w:rsid w:val="00E801FD"/>
    <w:rsid w:val="00E8058A"/>
    <w:rsid w:val="00E81026"/>
    <w:rsid w:val="00E811FD"/>
    <w:rsid w:val="00E81855"/>
    <w:rsid w:val="00E8280A"/>
    <w:rsid w:val="00E84453"/>
    <w:rsid w:val="00E845E2"/>
    <w:rsid w:val="00E870F1"/>
    <w:rsid w:val="00E90278"/>
    <w:rsid w:val="00E91E88"/>
    <w:rsid w:val="00E924B8"/>
    <w:rsid w:val="00E927DF"/>
    <w:rsid w:val="00E934A4"/>
    <w:rsid w:val="00E93856"/>
    <w:rsid w:val="00E942A4"/>
    <w:rsid w:val="00E94484"/>
    <w:rsid w:val="00E9483C"/>
    <w:rsid w:val="00E95744"/>
    <w:rsid w:val="00E97466"/>
    <w:rsid w:val="00E97975"/>
    <w:rsid w:val="00EA095B"/>
    <w:rsid w:val="00EA2189"/>
    <w:rsid w:val="00EA2A9B"/>
    <w:rsid w:val="00EA355B"/>
    <w:rsid w:val="00EA5235"/>
    <w:rsid w:val="00EA64D7"/>
    <w:rsid w:val="00EA73D6"/>
    <w:rsid w:val="00EB094F"/>
    <w:rsid w:val="00EB1319"/>
    <w:rsid w:val="00EB1A71"/>
    <w:rsid w:val="00EB3985"/>
    <w:rsid w:val="00EB4252"/>
    <w:rsid w:val="00EB50A6"/>
    <w:rsid w:val="00EB5E97"/>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5E10"/>
    <w:rsid w:val="00ED6571"/>
    <w:rsid w:val="00ED65C4"/>
    <w:rsid w:val="00ED6728"/>
    <w:rsid w:val="00ED7018"/>
    <w:rsid w:val="00EE0923"/>
    <w:rsid w:val="00EE1338"/>
    <w:rsid w:val="00EE1DB0"/>
    <w:rsid w:val="00EE1DB2"/>
    <w:rsid w:val="00EE3ADF"/>
    <w:rsid w:val="00EE50ED"/>
    <w:rsid w:val="00EE6D3A"/>
    <w:rsid w:val="00EE74FE"/>
    <w:rsid w:val="00EE7A21"/>
    <w:rsid w:val="00EE7A94"/>
    <w:rsid w:val="00EF37DA"/>
    <w:rsid w:val="00EF3BA8"/>
    <w:rsid w:val="00EF3CFD"/>
    <w:rsid w:val="00EF4AF5"/>
    <w:rsid w:val="00EF6D59"/>
    <w:rsid w:val="00EF7957"/>
    <w:rsid w:val="00F00089"/>
    <w:rsid w:val="00F00A49"/>
    <w:rsid w:val="00F00C69"/>
    <w:rsid w:val="00F017E8"/>
    <w:rsid w:val="00F01AC2"/>
    <w:rsid w:val="00F02620"/>
    <w:rsid w:val="00F0524A"/>
    <w:rsid w:val="00F070B2"/>
    <w:rsid w:val="00F1139E"/>
    <w:rsid w:val="00F12D23"/>
    <w:rsid w:val="00F14CFB"/>
    <w:rsid w:val="00F16116"/>
    <w:rsid w:val="00F167A8"/>
    <w:rsid w:val="00F16DAA"/>
    <w:rsid w:val="00F17186"/>
    <w:rsid w:val="00F208CA"/>
    <w:rsid w:val="00F21225"/>
    <w:rsid w:val="00F225A8"/>
    <w:rsid w:val="00F22B21"/>
    <w:rsid w:val="00F2389B"/>
    <w:rsid w:val="00F23F73"/>
    <w:rsid w:val="00F2462E"/>
    <w:rsid w:val="00F25D9B"/>
    <w:rsid w:val="00F26D98"/>
    <w:rsid w:val="00F30783"/>
    <w:rsid w:val="00F3223F"/>
    <w:rsid w:val="00F32A69"/>
    <w:rsid w:val="00F33096"/>
    <w:rsid w:val="00F337F3"/>
    <w:rsid w:val="00F350C5"/>
    <w:rsid w:val="00F356B4"/>
    <w:rsid w:val="00F35BD9"/>
    <w:rsid w:val="00F35FF8"/>
    <w:rsid w:val="00F3611E"/>
    <w:rsid w:val="00F36575"/>
    <w:rsid w:val="00F36FB3"/>
    <w:rsid w:val="00F37FEE"/>
    <w:rsid w:val="00F4061A"/>
    <w:rsid w:val="00F40C60"/>
    <w:rsid w:val="00F415A8"/>
    <w:rsid w:val="00F41E17"/>
    <w:rsid w:val="00F44CB3"/>
    <w:rsid w:val="00F44FC0"/>
    <w:rsid w:val="00F471C8"/>
    <w:rsid w:val="00F472D3"/>
    <w:rsid w:val="00F510F4"/>
    <w:rsid w:val="00F523D0"/>
    <w:rsid w:val="00F55232"/>
    <w:rsid w:val="00F56251"/>
    <w:rsid w:val="00F57627"/>
    <w:rsid w:val="00F57B48"/>
    <w:rsid w:val="00F60787"/>
    <w:rsid w:val="00F61B43"/>
    <w:rsid w:val="00F61CA1"/>
    <w:rsid w:val="00F61DEF"/>
    <w:rsid w:val="00F650EE"/>
    <w:rsid w:val="00F65B05"/>
    <w:rsid w:val="00F6611D"/>
    <w:rsid w:val="00F67357"/>
    <w:rsid w:val="00F67671"/>
    <w:rsid w:val="00F67DB7"/>
    <w:rsid w:val="00F71E9C"/>
    <w:rsid w:val="00F72076"/>
    <w:rsid w:val="00F720F3"/>
    <w:rsid w:val="00F72300"/>
    <w:rsid w:val="00F72A6A"/>
    <w:rsid w:val="00F745BB"/>
    <w:rsid w:val="00F746A5"/>
    <w:rsid w:val="00F74E9B"/>
    <w:rsid w:val="00F80B34"/>
    <w:rsid w:val="00F80E17"/>
    <w:rsid w:val="00F810D7"/>
    <w:rsid w:val="00F81449"/>
    <w:rsid w:val="00F82445"/>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6DF4"/>
    <w:rsid w:val="00FA708F"/>
    <w:rsid w:val="00FA740D"/>
    <w:rsid w:val="00FA7592"/>
    <w:rsid w:val="00FA75F9"/>
    <w:rsid w:val="00FB0312"/>
    <w:rsid w:val="00FB1E04"/>
    <w:rsid w:val="00FB201C"/>
    <w:rsid w:val="00FB22FE"/>
    <w:rsid w:val="00FB4E95"/>
    <w:rsid w:val="00FB6615"/>
    <w:rsid w:val="00FC0852"/>
    <w:rsid w:val="00FC12F8"/>
    <w:rsid w:val="00FC287F"/>
    <w:rsid w:val="00FC38FF"/>
    <w:rsid w:val="00FC4427"/>
    <w:rsid w:val="00FC5CAE"/>
    <w:rsid w:val="00FC6414"/>
    <w:rsid w:val="00FC6EE9"/>
    <w:rsid w:val="00FD23A6"/>
    <w:rsid w:val="00FD3424"/>
    <w:rsid w:val="00FD37DA"/>
    <w:rsid w:val="00FD3E53"/>
    <w:rsid w:val="00FD3ED3"/>
    <w:rsid w:val="00FD5E06"/>
    <w:rsid w:val="00FE2FE7"/>
    <w:rsid w:val="00FE4049"/>
    <w:rsid w:val="00FE5DA4"/>
    <w:rsid w:val="00FE6359"/>
    <w:rsid w:val="00FF096C"/>
    <w:rsid w:val="00FF13B8"/>
    <w:rsid w:val="00FF2071"/>
    <w:rsid w:val="00FF2888"/>
    <w:rsid w:val="00FF4353"/>
    <w:rsid w:val="00FF44A7"/>
    <w:rsid w:val="05549DA1"/>
    <w:rsid w:val="0C0031D0"/>
    <w:rsid w:val="0F4B9EE2"/>
    <w:rsid w:val="0F64C73F"/>
    <w:rsid w:val="0FE9C5EE"/>
    <w:rsid w:val="17D46502"/>
    <w:rsid w:val="18F6370E"/>
    <w:rsid w:val="1EB37B7B"/>
    <w:rsid w:val="21EBC2B0"/>
    <w:rsid w:val="22A150F4"/>
    <w:rsid w:val="22C33188"/>
    <w:rsid w:val="22E898CD"/>
    <w:rsid w:val="2C45BBB0"/>
    <w:rsid w:val="2E02752D"/>
    <w:rsid w:val="2E283DE6"/>
    <w:rsid w:val="35BEB5F5"/>
    <w:rsid w:val="3CE73526"/>
    <w:rsid w:val="40797A57"/>
    <w:rsid w:val="4351118E"/>
    <w:rsid w:val="45466A65"/>
    <w:rsid w:val="478FCED4"/>
    <w:rsid w:val="4BB34503"/>
    <w:rsid w:val="4FBB219D"/>
    <w:rsid w:val="57759313"/>
    <w:rsid w:val="59733014"/>
    <w:rsid w:val="5F52B9BC"/>
    <w:rsid w:val="60A63063"/>
    <w:rsid w:val="67A698ED"/>
    <w:rsid w:val="6934B75F"/>
    <w:rsid w:val="6BAC063D"/>
    <w:rsid w:val="70CC6285"/>
    <w:rsid w:val="72EF34BA"/>
    <w:rsid w:val="7303846E"/>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3C1F9B44-4492-49C9-A57E-00621CEA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A3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uiPriority w:val="99"/>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qFormat/>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81032F"/>
    <w:pPr>
      <w:numPr>
        <w:numId w:val="3"/>
      </w:numPr>
      <w:spacing w:before="240" w:after="240" w:line="276" w:lineRule="auto"/>
    </w:pPr>
    <w:rPr>
      <w:b/>
      <w:szCs w:val="18"/>
    </w:rPr>
  </w:style>
  <w:style w:type="character" w:customStyle="1" w:styleId="ObservationChar">
    <w:name w:val="Observation Char"/>
    <w:basedOn w:val="B-BodyChar"/>
    <w:link w:val="Observation"/>
    <w:rsid w:val="0081032F"/>
    <w:rPr>
      <w:rFonts w:ascii="Times New Roman" w:eastAsia="Times New Roman" w:hAnsi="Times New Roman"/>
      <w:b/>
      <w:sz w:val="22"/>
      <w:szCs w:val="18"/>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92A5C"/>
    <w:pPr>
      <w:tabs>
        <w:tab w:val="left" w:pos="1320"/>
        <w:tab w:val="right" w:leader="dot" w:pos="9350"/>
      </w:tabs>
      <w:spacing w:after="100"/>
    </w:pPr>
  </w:style>
  <w:style w:type="character" w:customStyle="1" w:styleId="Heading4Char">
    <w:name w:val="Heading 4 Char"/>
    <w:basedOn w:val="DefaultParagraphFont"/>
    <w:link w:val="Heading4"/>
    <w:uiPriority w:val="9"/>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ListParagraphChar">
    <w:name w:val="List Paragraph Char"/>
    <w:link w:val="ListParagraph"/>
    <w:uiPriority w:val="34"/>
    <w:qFormat/>
    <w:locked/>
    <w:rsid w:val="00267BF4"/>
    <w:rPr>
      <w:rFonts w:ascii="Times New Roman" w:eastAsia="Times New Roman" w:hAnsi="Times New Roman"/>
      <w:lang w:val="en-GB"/>
    </w:rPr>
  </w:style>
  <w:style w:type="paragraph" w:customStyle="1" w:styleId="tal">
    <w:name w:val="tal"/>
    <w:basedOn w:val="Normal"/>
    <w:rsid w:val="005E02DC"/>
    <w:pPr>
      <w:overflowPunct/>
      <w:autoSpaceDE/>
      <w:autoSpaceDN/>
      <w:adjustRightInd/>
      <w:spacing w:before="100" w:beforeAutospacing="1" w:after="100" w:afterAutospacing="1"/>
      <w:textAlignment w:val="auto"/>
    </w:pPr>
    <w:rPr>
      <w:sz w:val="24"/>
      <w:szCs w:val="24"/>
      <w:lang w:val="en-US"/>
    </w:rPr>
  </w:style>
  <w:style w:type="paragraph" w:customStyle="1" w:styleId="PL">
    <w:name w:val="PL"/>
    <w:link w:val="PLChar"/>
    <w:qFormat/>
    <w:rsid w:val="00BF61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F6113"/>
    <w:rPr>
      <w:rFonts w:ascii="Courier New" w:eastAsia="Times New Roman" w:hAnsi="Courier New"/>
      <w:noProof/>
      <w:sz w:val="16"/>
      <w:shd w:val="clear" w:color="auto" w:fill="E6E6E6"/>
      <w:lang w:val="en-GB" w:eastAsia="en-GB"/>
    </w:rPr>
  </w:style>
  <w:style w:type="paragraph" w:customStyle="1" w:styleId="NumberedList">
    <w:name w:val="Numbered List"/>
    <w:basedOn w:val="Normal"/>
    <w:rsid w:val="003015CD"/>
    <w:pPr>
      <w:numPr>
        <w:numId w:val="11"/>
      </w:numPr>
      <w:overflowPunct/>
      <w:autoSpaceDE/>
      <w:autoSpaceDN/>
      <w:adjustRightInd/>
      <w:spacing w:before="240" w:after="60"/>
      <w:jc w:val="both"/>
      <w:textAlignment w:val="auto"/>
    </w:pPr>
    <w:rPr>
      <w:rFonts w:ascii="Arial" w:hAnsi="Arial"/>
      <w:szCs w:val="24"/>
    </w:rPr>
  </w:style>
  <w:style w:type="numbering" w:customStyle="1" w:styleId="ECCNumberedList">
    <w:name w:val="ECC Numbered List"/>
    <w:uiPriority w:val="99"/>
    <w:rsid w:val="003015CD"/>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18631578">
      <w:bodyDiv w:val="1"/>
      <w:marLeft w:val="0"/>
      <w:marRight w:val="0"/>
      <w:marTop w:val="0"/>
      <w:marBottom w:val="0"/>
      <w:divBdr>
        <w:top w:val="none" w:sz="0" w:space="0" w:color="auto"/>
        <w:left w:val="none" w:sz="0" w:space="0" w:color="auto"/>
        <w:bottom w:val="none" w:sz="0" w:space="0" w:color="auto"/>
        <w:right w:val="none" w:sz="0" w:space="0" w:color="auto"/>
      </w:divBdr>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0443251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83718925">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45140072">
      <w:bodyDiv w:val="1"/>
      <w:marLeft w:val="0"/>
      <w:marRight w:val="0"/>
      <w:marTop w:val="0"/>
      <w:marBottom w:val="0"/>
      <w:divBdr>
        <w:top w:val="none" w:sz="0" w:space="0" w:color="auto"/>
        <w:left w:val="none" w:sz="0" w:space="0" w:color="auto"/>
        <w:bottom w:val="none" w:sz="0" w:space="0" w:color="auto"/>
        <w:right w:val="none" w:sz="0" w:space="0" w:color="auto"/>
      </w:divBdr>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36967269">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311907108">
      <w:bodyDiv w:val="1"/>
      <w:marLeft w:val="0"/>
      <w:marRight w:val="0"/>
      <w:marTop w:val="0"/>
      <w:marBottom w:val="0"/>
      <w:divBdr>
        <w:top w:val="none" w:sz="0" w:space="0" w:color="auto"/>
        <w:left w:val="none" w:sz="0" w:space="0" w:color="auto"/>
        <w:bottom w:val="none" w:sz="0" w:space="0" w:color="auto"/>
        <w:right w:val="none" w:sz="0" w:space="0" w:color="auto"/>
      </w:divBdr>
    </w:div>
    <w:div w:id="1337227703">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6863">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917556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659112937">
      <w:bodyDiv w:val="1"/>
      <w:marLeft w:val="0"/>
      <w:marRight w:val="0"/>
      <w:marTop w:val="0"/>
      <w:marBottom w:val="0"/>
      <w:divBdr>
        <w:top w:val="none" w:sz="0" w:space="0" w:color="auto"/>
        <w:left w:val="none" w:sz="0" w:space="0" w:color="auto"/>
        <w:bottom w:val="none" w:sz="0" w:space="0" w:color="auto"/>
        <w:right w:val="none" w:sz="0" w:space="0" w:color="auto"/>
      </w:divBdr>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818525254">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82029301">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21bis-e/Docs/R2-230246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EDDAB016-79E9-4D8B-85E8-208A83D61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1</Pages>
  <Words>2712</Words>
  <Characters>15459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406</cp:revision>
  <dcterms:created xsi:type="dcterms:W3CDTF">2022-08-03T22:24:00Z</dcterms:created>
  <dcterms:modified xsi:type="dcterms:W3CDTF">2023-05-12T05:56:00Z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MediaServiceImageTags">
    <vt:lpwstr/>
  </property>
</Properties>
</file>